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embeddings/Microsoft_Visio___1.vsdx" ContentType="application/vnd.ms-visio.drawing"/>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4"/>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08"/>
        <w:gridCol w:w="9412"/>
        <w:gridCol w:w="3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4" w:type="dxa"/>
            <w:gridSpan w:val="3"/>
            <w:tcBorders>
              <w:top w:val="nil"/>
              <w:left w:val="nil"/>
              <w:bottom w:val="nil"/>
              <w:right w:val="nil"/>
            </w:tcBorders>
            <w:shd w:val="clear" w:color="auto" w:fill="auto"/>
          </w:tcPr>
          <w:p>
            <w:pPr>
              <w:framePr w:hSpace="180" w:vSpace="180" w:wrap="around" w:vAnchor="margin" w:hAnchor="margin" w:y="1" w:anchorLock="1"/>
              <w:jc w:val="left"/>
              <w:textAlignment w:val="center"/>
              <w:rPr>
                <w:rFonts w:eastAsia="黑体"/>
                <w:kern w:val="0"/>
                <w:szCs w:val="21"/>
              </w:rPr>
            </w:pPr>
            <w:r>
              <w:rPr>
                <w:rFonts w:eastAsia="黑体"/>
                <w:kern w:val="0"/>
                <w:szCs w:val="21"/>
              </w:rPr>
              <mc:AlternateContent>
                <mc:Choice Requires="wps">
                  <w:drawing>
                    <wp:anchor distT="0" distB="0" distL="114300" distR="114300" simplePos="0" relativeHeight="251660288" behindDoc="1" locked="0" layoutInCell="1" allowOverlap="1">
                      <wp:simplePos x="0" y="0"/>
                      <wp:positionH relativeFrom="column">
                        <wp:posOffset>-66675</wp:posOffset>
                      </wp:positionH>
                      <wp:positionV relativeFrom="paragraph">
                        <wp:posOffset>0</wp:posOffset>
                      </wp:positionV>
                      <wp:extent cx="866775" cy="198120"/>
                      <wp:effectExtent l="0" t="0" r="0" b="1905"/>
                      <wp:wrapNone/>
                      <wp:docPr id="1018307167" name="矩形 5"/>
                      <wp:cNvGraphicFramePr/>
                      <a:graphic xmlns:a="http://schemas.openxmlformats.org/drawingml/2006/main">
                        <a:graphicData uri="http://schemas.microsoft.com/office/word/2010/wordprocessingShape">
                          <wps:wsp>
                            <wps:cNvSpPr>
                              <a:spLocks noChangeArrowheads="1"/>
                            </wps:cNvSpPr>
                            <wps:spPr bwMode="auto">
                              <a:xfrm>
                                <a:off x="0" y="0"/>
                                <a:ext cx="866775" cy="19812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矩形 5" o:spid="_x0000_s1026" o:spt="1" style="position:absolute;left:0pt;margin-left:-5.25pt;margin-top:0pt;height:15.6pt;width:68.25pt;z-index:-251656192;mso-width-relative:page;mso-height-relative:page;" fillcolor="#FFFFFF" filled="t" stroked="f" coordsize="21600,21600" o:gfxdata="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Iri/s&#10;1QAAAAcBAAAPAAAAAAAAAAEAIAAAACIAAABkcnMvZG93bnJldi54bWxQSwECFAAUAAAACACHTuJA&#10;1fkjHSQCAAAuBAAADgAAAAAAAAABACAAAAAkAQAAZHJzL2Uyb0RvYy54bWxQSwUGAAAAAAYABgBZ&#10;AQAAugUAAAAA&#10;">
                      <v:fill on="t" focussize="0,0"/>
                      <v:stroke on="f"/>
                      <v:imagedata o:title=""/>
                      <o:lock v:ext="edit" aspectratio="f"/>
                    </v:rect>
                  </w:pict>
                </mc:Fallback>
              </mc:AlternateConten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gridAfter w:val="1"/>
          <w:wBefore w:w="108" w:type="dxa"/>
          <w:wAfter w:w="334" w:type="dxa"/>
        </w:trPr>
        <w:tc>
          <w:tcPr>
            <w:tcW w:w="9412" w:type="dxa"/>
            <w:tcBorders>
              <w:top w:val="nil"/>
              <w:left w:val="nil"/>
              <w:bottom w:val="nil"/>
              <w:right w:val="nil"/>
            </w:tcBorders>
            <w:shd w:val="clear" w:color="auto" w:fill="auto"/>
          </w:tcPr>
          <w:p>
            <w:pPr>
              <w:framePr w:hSpace="180" w:vSpace="180" w:wrap="around" w:vAnchor="margin" w:hAnchor="margin" w:y="1" w:anchorLock="1"/>
              <w:jc w:val="left"/>
              <w:textAlignment w:val="center"/>
              <w:rPr>
                <w:rFonts w:eastAsia="黑体"/>
                <w:kern w:val="0"/>
                <w:szCs w:val="21"/>
              </w:rPr>
            </w:pPr>
            <w:r>
              <w:rPr>
                <w:rFonts w:eastAsia="黑体"/>
                <w:kern w:val="0"/>
                <w:szCs w:val="21"/>
              </w:rPr>
              <mc:AlternateContent>
                <mc:Choice Requires="wps">
                  <w:drawing>
                    <wp:anchor distT="0" distB="0" distL="114300" distR="114300" simplePos="0" relativeHeight="251662336" behindDoc="1" locked="0" layoutInCell="1" allowOverlap="1">
                      <wp:simplePos x="0" y="0"/>
                      <wp:positionH relativeFrom="column">
                        <wp:posOffset>-66675</wp:posOffset>
                      </wp:positionH>
                      <wp:positionV relativeFrom="paragraph">
                        <wp:posOffset>0</wp:posOffset>
                      </wp:positionV>
                      <wp:extent cx="866775" cy="198120"/>
                      <wp:effectExtent l="0" t="0" r="9525" b="0"/>
                      <wp:wrapNone/>
                      <wp:docPr id="6" name="矩形 4"/>
                      <wp:cNvGraphicFramePr/>
                      <a:graphic xmlns:a="http://schemas.openxmlformats.org/drawingml/2006/main">
                        <a:graphicData uri="http://schemas.microsoft.com/office/word/2010/wordprocessingShape">
                          <wps:wsp>
                            <wps:cNvSpPr>
                              <a:spLocks noChangeArrowheads="1"/>
                            </wps:cNvSpPr>
                            <wps:spPr bwMode="auto">
                              <a:xfrm>
                                <a:off x="0" y="0"/>
                                <a:ext cx="866775" cy="19812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矩形 4" o:spid="_x0000_s1026" o:spt="1" style="position:absolute;left:0pt;margin-left:-5.25pt;margin-top:0pt;height:15.6pt;width:68.25pt;z-index:-251654144;mso-width-relative:page;mso-height-relative:page;" fillcolor="#FFFFFF" filled="t" stroked="f" coordsize="21600,21600" o:gfxdata="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yK4v7NUAAAAHAQAA&#10;DwAAAAAAAAABACAAAAAiAAAAZHJzL2Rvd25yZXYueG1sUEsBAhQAFAAAAAgAh07iQAwkg4scAgAA&#10;JQQAAA4AAAAAAAAAAQAgAAAAJAEAAGRycy9lMm9Eb2MueG1sUEsFBgAAAAAGAAYAWQEAALIFAAAA&#10;AA==&#10;">
                      <v:fill on="t" focussize="0,0"/>
                      <v:stroke on="f"/>
                      <v:imagedata o:title=""/>
                      <o:lock v:ext="edit" aspectratio="f"/>
                    </v:rect>
                  </w:pict>
                </mc:Fallback>
              </mc:AlternateContent>
            </w:r>
            <w:r>
              <w:rPr>
                <w:rFonts w:eastAsia="黑体"/>
                <w:kern w:val="0"/>
                <w:szCs w:val="21"/>
              </w:rPr>
              <w:t>ICS号</w:t>
            </w:r>
            <w:r>
              <w:rPr>
                <w:rFonts w:hint="eastAsia" w:eastAsia="黑体"/>
                <w:kern w:val="0"/>
                <w:szCs w:val="21"/>
              </w:rPr>
              <w:t>9</w:t>
            </w:r>
            <w:r>
              <w:rPr>
                <w:rFonts w:eastAsia="黑体"/>
                <w:kern w:val="0"/>
                <w:szCs w:val="21"/>
              </w:rPr>
              <w:t>1.140.50</w:t>
            </w:r>
          </w:p>
          <w:p>
            <w:pPr>
              <w:framePr w:hSpace="180" w:vSpace="180" w:wrap="around" w:vAnchor="margin" w:hAnchor="margin" w:y="1" w:anchorLock="1"/>
              <w:jc w:val="left"/>
              <w:textAlignment w:val="center"/>
              <w:rPr>
                <w:rFonts w:eastAsia="黑体"/>
                <w:kern w:val="0"/>
                <w:szCs w:val="21"/>
              </w:rPr>
            </w:pPr>
            <w:r>
              <w:rPr>
                <w:rFonts w:eastAsia="黑体"/>
                <w:kern w:val="0"/>
                <w:szCs w:val="21"/>
              </w:rPr>
              <w:t>中国标准文献分类号（CCS）</w:t>
            </w:r>
            <w:r>
              <w:rPr>
                <w:rFonts w:hint="eastAsia" w:eastAsia="黑体"/>
                <w:kern w:val="0"/>
                <w:szCs w:val="21"/>
              </w:rPr>
              <w:t>K00</w:t>
            </w:r>
          </w:p>
        </w:tc>
      </w:tr>
    </w:tbl>
    <w:p>
      <w:pPr>
        <w:framePr w:hSpace="181" w:vSpace="181" w:wrap="around" w:vAnchor="page" w:hAnchor="page" w:x="2205" w:y="3405" w:anchorLock="1"/>
        <w:widowControl/>
        <w:spacing w:before="156" w:after="156" w:line="0" w:lineRule="atLeast"/>
        <w:jc w:val="left"/>
        <w:rPr>
          <w:rFonts w:eastAsia="黑体"/>
          <w:spacing w:val="-40"/>
          <w:kern w:val="0"/>
          <w:sz w:val="72"/>
          <w:szCs w:val="72"/>
        </w:rPr>
      </w:pPr>
      <w:r>
        <w:rPr>
          <w:rFonts w:eastAsia="黑体"/>
          <w:spacing w:val="-40"/>
          <w:kern w:val="0"/>
          <w:sz w:val="72"/>
          <w:szCs w:val="72"/>
        </w:rPr>
        <w:t>团      体      标      准</w:t>
      </w:r>
    </w:p>
    <w:p>
      <w:pPr>
        <w:framePr w:w="9140" w:h="1242" w:hRule="exact" w:hSpace="284" w:wrap="around" w:vAnchor="page" w:hAnchor="page" w:x="1637" w:y="4411" w:anchorLock="1"/>
        <w:widowControl/>
        <w:spacing w:before="357" w:line="280" w:lineRule="exact"/>
        <w:jc w:val="right"/>
        <w:rPr>
          <w:rFonts w:eastAsia="黑体"/>
          <w:kern w:val="0"/>
          <w:sz w:val="28"/>
          <w:szCs w:val="28"/>
        </w:rPr>
      </w:pPr>
      <w:r>
        <w:rPr>
          <w:rFonts w:eastAsia="仿宋"/>
          <w:kern w:val="0"/>
          <w:sz w:val="28"/>
          <w:szCs w:val="28"/>
        </w:rPr>
        <w:t>T/CFPA XXX-XXXX</w:t>
      </w:r>
    </w:p>
    <w:tbl>
      <w:tblPr>
        <w:tblStyle w:val="34"/>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3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56" w:type="dxa"/>
            <w:tcBorders>
              <w:top w:val="nil"/>
              <w:left w:val="nil"/>
              <w:bottom w:val="nil"/>
              <w:right w:val="nil"/>
            </w:tcBorders>
            <w:shd w:val="clear" w:color="auto" w:fill="auto"/>
          </w:tcPr>
          <w:p>
            <w:pPr>
              <w:framePr w:w="9140" w:h="1242" w:hRule="exact" w:hSpace="284" w:wrap="around" w:vAnchor="page" w:hAnchor="page" w:x="1637" w:y="4411" w:anchorLock="1"/>
              <w:widowControl/>
              <w:spacing w:before="57" w:line="280" w:lineRule="exact"/>
              <w:ind w:right="420"/>
              <w:jc w:val="right"/>
              <w:rPr>
                <w:kern w:val="0"/>
                <w:szCs w:val="21"/>
              </w:rPr>
            </w:pPr>
            <w:r>
              <w:rPr>
                <w:kern w:val="0"/>
                <w:szCs w:val="21"/>
              </w:rPr>
              <mc:AlternateContent>
                <mc:Choice Requires="wps">
                  <w:drawing>
                    <wp:anchor distT="0" distB="0" distL="114300" distR="114300" simplePos="0" relativeHeight="251664384" behindDoc="0" locked="0" layoutInCell="1" allowOverlap="1">
                      <wp:simplePos x="0" y="0"/>
                      <wp:positionH relativeFrom="column">
                        <wp:posOffset>-316865</wp:posOffset>
                      </wp:positionH>
                      <wp:positionV relativeFrom="paragraph">
                        <wp:posOffset>128905</wp:posOffset>
                      </wp:positionV>
                      <wp:extent cx="6105525" cy="9525"/>
                      <wp:effectExtent l="0" t="0" r="28575" b="28575"/>
                      <wp:wrapNone/>
                      <wp:docPr id="7" name="直接连接符 3"/>
                      <wp:cNvGraphicFramePr/>
                      <a:graphic xmlns:a="http://schemas.openxmlformats.org/drawingml/2006/main">
                        <a:graphicData uri="http://schemas.microsoft.com/office/word/2010/wordprocessingShape">
                          <wps:wsp>
                            <wps:cNvCnPr/>
                            <wps:spPr>
                              <a:xfrm flipV="1">
                                <a:off x="0" y="0"/>
                                <a:ext cx="6105525" cy="9525"/>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直接连接符 3" o:spid="_x0000_s1026" o:spt="20" style="position:absolute;left:0pt;flip:y;margin-left:-24.95pt;margin-top:10.15pt;height:0.75pt;width:480.75pt;z-index:251664384;mso-width-relative:page;mso-height-relative:page;" filled="f" stroked="t" coordsize="21600,21600" o:gfxdata="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olXcu1wAAAAkBAAAPAAAAAAAAAAEAIAAAACIAAABkcnMvZG93bnJl&#10;di54bWxQSwECFAAUAAAACACHTuJAYLBgp/4BAADgAwAADgAAAAAAAAABACAAAAAmAQAAZHJzL2Uy&#10;b0RvYy54bWxQSwUGAAAAAAYABgBZAQAAlgUAAAAA&#10;">
                      <v:fill on="f" focussize="0,0"/>
                      <v:stroke weight="0.5pt" color="#000000" miterlimit="8" joinstyle="miter"/>
                      <v:imagedata o:title=""/>
                      <o:lock v:ext="edit" aspectratio="f"/>
                    </v:line>
                  </w:pict>
                </mc:Fallback>
              </mc:AlternateContent>
            </w:r>
            <w:r>
              <w:rPr>
                <w:kern w:val="0"/>
                <w:szCs w:val="21"/>
              </w:rPr>
              <mc:AlternateContent>
                <mc:Choice Requires="wps">
                  <w:drawing>
                    <wp:anchor distT="0" distB="0" distL="114300" distR="114300" simplePos="0" relativeHeight="251661312" behindDoc="1" locked="0" layoutInCell="1" allowOverlap="1">
                      <wp:simplePos x="0" y="0"/>
                      <wp:positionH relativeFrom="column">
                        <wp:posOffset>4734560</wp:posOffset>
                      </wp:positionH>
                      <wp:positionV relativeFrom="paragraph">
                        <wp:posOffset>34290</wp:posOffset>
                      </wp:positionV>
                      <wp:extent cx="1143000" cy="228600"/>
                      <wp:effectExtent l="0" t="0" r="0" b="0"/>
                      <wp:wrapNone/>
                      <wp:docPr id="5" name="矩形 2"/>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矩形 2" o:spid="_x0000_s1026" o:spt="1" style="position:absolute;left:0pt;margin-left:372.8pt;margin-top:2.7pt;height:18pt;width:90pt;z-index:-251655168;mso-width-relative:page;mso-height-relative:page;" fillcolor="#FFFFFF" filled="t" stroked="f" coordsize="21600,21600" o:gfxdata="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B5g8svWAAAACAEAAA8A&#10;AAAAAAAAAQAgAAAAIgAAAGRycy9kb3ducmV2LnhtbFBLAQIUABQAAAAIAIdO4kCvd/svGQIAACYE&#10;AAAOAAAAAAAAAAEAIAAAACUBAABkcnMvZTJvRG9jLnhtbFBLBQYAAAAABgAGAFkBAACwBQAAAAA=&#10;">
                      <v:fill on="t" focussize="0,0"/>
                      <v:stroke on="f"/>
                      <v:imagedata o:title=""/>
                      <o:lock v:ext="edit" aspectratio="f"/>
                    </v:rect>
                  </w:pict>
                </mc:Fallback>
              </mc:AlternateContent>
            </w:r>
          </w:p>
        </w:tc>
      </w:tr>
    </w:tbl>
    <w:p>
      <w:pPr>
        <w:framePr w:w="9140" w:h="1242" w:hRule="exact" w:hSpace="284" w:wrap="around" w:vAnchor="page" w:hAnchor="page" w:x="1637" w:y="4411" w:anchorLock="1"/>
        <w:widowControl/>
        <w:spacing w:before="357" w:line="280" w:lineRule="exact"/>
        <w:jc w:val="right"/>
        <w:rPr>
          <w:rFonts w:eastAsia="黑体"/>
          <w:kern w:val="0"/>
          <w:sz w:val="28"/>
          <w:szCs w:val="28"/>
        </w:rPr>
      </w:pPr>
    </w:p>
    <w:p>
      <w:pPr>
        <w:framePr w:w="9140" w:h="1242" w:hRule="exact" w:hSpace="284" w:wrap="around" w:vAnchor="page" w:hAnchor="page" w:x="1637" w:y="4411" w:anchorLock="1"/>
        <w:widowControl/>
        <w:spacing w:before="357" w:line="280" w:lineRule="exact"/>
        <w:jc w:val="right"/>
        <w:rPr>
          <w:rFonts w:eastAsia="黑体"/>
          <w:kern w:val="0"/>
          <w:sz w:val="28"/>
          <w:szCs w:val="28"/>
        </w:rPr>
      </w:pPr>
    </w:p>
    <w:p>
      <w:pPr>
        <w:framePr w:w="9639" w:wrap="around" w:vAnchor="page" w:hAnchor="page" w:x="1276" w:y="8431" w:anchorLock="1"/>
        <w:spacing w:line="680" w:lineRule="exact"/>
        <w:jc w:val="center"/>
        <w:textAlignment w:val="center"/>
        <w:rPr>
          <w:rFonts w:eastAsia="黑体"/>
          <w:kern w:val="0"/>
          <w:sz w:val="52"/>
          <w:szCs w:val="20"/>
        </w:rPr>
      </w:pPr>
      <w:r>
        <w:rPr>
          <w:rFonts w:eastAsia="黑体"/>
          <w:kern w:val="0"/>
          <w:sz w:val="52"/>
          <w:szCs w:val="20"/>
        </w:rPr>
        <w:t>建筑低压电气线路故障监测、处置及电气</w:t>
      </w:r>
    </w:p>
    <w:p>
      <w:pPr>
        <w:framePr w:w="9639" w:wrap="around" w:vAnchor="page" w:hAnchor="page" w:x="1276" w:y="8431" w:anchorLock="1"/>
        <w:spacing w:line="680" w:lineRule="exact"/>
        <w:jc w:val="center"/>
        <w:textAlignment w:val="center"/>
        <w:rPr>
          <w:rFonts w:eastAsia="黑体"/>
          <w:kern w:val="0"/>
          <w:sz w:val="52"/>
          <w:szCs w:val="20"/>
        </w:rPr>
      </w:pPr>
      <w:r>
        <w:rPr>
          <w:rFonts w:eastAsia="黑体"/>
          <w:kern w:val="0"/>
          <w:sz w:val="52"/>
          <w:szCs w:val="20"/>
        </w:rPr>
        <w:t>火灾</w:t>
      </w:r>
      <w:r>
        <w:rPr>
          <w:rFonts w:hint="eastAsia" w:eastAsia="黑体"/>
          <w:kern w:val="0"/>
          <w:sz w:val="52"/>
          <w:szCs w:val="20"/>
        </w:rPr>
        <w:t>分析系统</w:t>
      </w:r>
      <w:r>
        <w:rPr>
          <w:rFonts w:eastAsia="黑体"/>
          <w:kern w:val="0"/>
          <w:sz w:val="52"/>
          <w:szCs w:val="20"/>
        </w:rPr>
        <w:t>技术导则</w:t>
      </w:r>
    </w:p>
    <w:p>
      <w:pPr>
        <w:framePr w:w="9639" w:wrap="around" w:vAnchor="page" w:hAnchor="page" w:x="1276" w:y="8431" w:anchorLock="1"/>
        <w:spacing w:line="680" w:lineRule="exact"/>
        <w:jc w:val="center"/>
        <w:textAlignment w:val="center"/>
        <w:rPr>
          <w:rFonts w:eastAsia="黑体"/>
          <w:kern w:val="0"/>
          <w:sz w:val="28"/>
          <w:szCs w:val="28"/>
        </w:rPr>
      </w:pPr>
    </w:p>
    <w:p>
      <w:pPr>
        <w:framePr w:w="9639" w:wrap="around" w:vAnchor="page" w:hAnchor="page" w:x="1276" w:y="8431" w:anchorLock="1"/>
        <w:spacing w:line="680" w:lineRule="exact"/>
        <w:jc w:val="center"/>
        <w:textAlignment w:val="center"/>
        <w:rPr>
          <w:rFonts w:eastAsia="黑体"/>
          <w:kern w:val="0"/>
          <w:sz w:val="28"/>
          <w:szCs w:val="28"/>
        </w:rPr>
      </w:pPr>
      <w:r>
        <w:rPr>
          <w:rFonts w:eastAsia="黑体"/>
          <w:kern w:val="0"/>
          <w:sz w:val="28"/>
          <w:szCs w:val="28"/>
        </w:rPr>
        <w:t xml:space="preserve">Guide for Monitoring, Handling and Electrical </w:t>
      </w:r>
      <w:r>
        <w:rPr>
          <w:rFonts w:hint="eastAsia" w:eastAsia="黑体"/>
          <w:kern w:val="0"/>
          <w:sz w:val="28"/>
          <w:szCs w:val="28"/>
        </w:rPr>
        <w:t>F</w:t>
      </w:r>
      <w:r>
        <w:rPr>
          <w:rFonts w:eastAsia="黑体"/>
          <w:kern w:val="0"/>
          <w:sz w:val="28"/>
          <w:szCs w:val="28"/>
        </w:rPr>
        <w:t xml:space="preserve">ire </w:t>
      </w:r>
      <w:r>
        <w:rPr>
          <w:rFonts w:hint="eastAsia" w:eastAsia="黑体"/>
          <w:kern w:val="0"/>
          <w:sz w:val="28"/>
          <w:szCs w:val="28"/>
        </w:rPr>
        <w:t>A</w:t>
      </w:r>
      <w:r>
        <w:rPr>
          <w:rFonts w:eastAsia="黑体"/>
          <w:kern w:val="0"/>
          <w:sz w:val="28"/>
          <w:szCs w:val="28"/>
        </w:rPr>
        <w:t xml:space="preserve">nalysis </w:t>
      </w:r>
      <w:r>
        <w:rPr>
          <w:rFonts w:hint="eastAsia" w:eastAsia="黑体"/>
          <w:kern w:val="0"/>
          <w:sz w:val="28"/>
          <w:szCs w:val="28"/>
        </w:rPr>
        <w:t>S</w:t>
      </w:r>
      <w:r>
        <w:rPr>
          <w:rFonts w:eastAsia="黑体"/>
          <w:kern w:val="0"/>
          <w:sz w:val="28"/>
          <w:szCs w:val="28"/>
        </w:rPr>
        <w:t xml:space="preserve">ystem </w:t>
      </w:r>
      <w:r>
        <w:rPr>
          <w:rFonts w:hint="eastAsia" w:eastAsia="黑体"/>
          <w:kern w:val="0"/>
          <w:sz w:val="28"/>
          <w:szCs w:val="28"/>
        </w:rPr>
        <w:t>f</w:t>
      </w:r>
      <w:r>
        <w:rPr>
          <w:rFonts w:eastAsia="黑体"/>
          <w:kern w:val="0"/>
          <w:sz w:val="28"/>
          <w:szCs w:val="28"/>
        </w:rPr>
        <w:t>or Low-Voltage Electrical Line Faults in Buildings</w:t>
      </w:r>
    </w:p>
    <w:p>
      <w:pPr>
        <w:framePr w:hSpace="125" w:vSpace="181" w:wrap="around" w:vAnchor="page" w:hAnchor="page" w:x="4691" w:y="14326" w:anchorLock="1"/>
        <w:widowControl/>
        <w:snapToGrid w:val="0"/>
        <w:jc w:val="center"/>
        <w:rPr>
          <w:rFonts w:eastAsia="黑体"/>
          <w:kern w:val="0"/>
          <w:sz w:val="28"/>
          <w:szCs w:val="20"/>
        </w:rPr>
      </w:pPr>
      <w:r>
        <w:rPr>
          <w:rFonts w:eastAsia="黑体"/>
          <w:kern w:val="0"/>
          <w:sz w:val="28"/>
          <w:szCs w:val="20"/>
        </w:rPr>
        <w:t>中国消防协会  发布</w:t>
      </w:r>
    </w:p>
    <w:p>
      <w:pPr>
        <w:framePr w:w="3997" w:h="471" w:hRule="exact" w:vSpace="181" w:wrap="around" w:vAnchor="page" w:hAnchor="page" w:x="1246" w:y="13516" w:anchorLock="1"/>
        <w:widowControl/>
        <w:jc w:val="left"/>
        <w:rPr>
          <w:rFonts w:eastAsia="黑体"/>
          <w:kern w:val="0"/>
          <w:sz w:val="28"/>
          <w:szCs w:val="20"/>
        </w:rPr>
      </w:pPr>
      <w:r>
        <w:rPr>
          <w:rFonts w:eastAsia="黑体"/>
          <w:kern w:val="0"/>
          <w:sz w:val="28"/>
          <w:szCs w:val="20"/>
        </w:rPr>
        <w:t>XXXX-XX -XX发布</w:t>
      </w:r>
      <w:r>
        <w:rPr>
          <w:rFonts w:eastAsia="黑体"/>
          <w:kern w:val="0"/>
          <w:sz w:val="28"/>
          <w:szCs w:val="20"/>
        </w:rPr>
        <mc:AlternateContent>
          <mc:Choice Requires="wps">
            <w:drawing>
              <wp:anchor distT="0" distB="0" distL="114300" distR="114300" simplePos="0" relativeHeight="251663360" behindDoc="0" locked="1" layoutInCell="1" allowOverlap="1">
                <wp:simplePos x="0" y="0"/>
                <wp:positionH relativeFrom="column">
                  <wp:posOffset>-27305</wp:posOffset>
                </wp:positionH>
                <wp:positionV relativeFrom="page">
                  <wp:posOffset>8972550</wp:posOffset>
                </wp:positionV>
                <wp:extent cx="6153150" cy="0"/>
                <wp:effectExtent l="10795" t="9525" r="8255" b="9525"/>
                <wp:wrapNone/>
                <wp:docPr id="176680274" name="直接连接符 1"/>
                <wp:cNvGraphicFramePr/>
                <a:graphic xmlns:a="http://schemas.openxmlformats.org/drawingml/2006/main">
                  <a:graphicData uri="http://schemas.microsoft.com/office/word/2010/wordprocessingShape">
                    <wps:wsp>
                      <wps:cNvCnPr>
                        <a:cxnSpLocks noChangeShapeType="1"/>
                      </wps:cNvCnPr>
                      <wps:spPr bwMode="auto">
                        <a:xfrm flipV="1">
                          <a:off x="0" y="0"/>
                          <a:ext cx="6153150" cy="0"/>
                        </a:xfrm>
                        <a:prstGeom prst="line">
                          <a:avLst/>
                        </a:prstGeom>
                        <a:noFill/>
                        <a:ln w="9525">
                          <a:solidFill>
                            <a:srgbClr val="000000"/>
                          </a:solidFill>
                          <a:round/>
                        </a:ln>
                      </wps:spPr>
                      <wps:bodyPr/>
                    </wps:wsp>
                  </a:graphicData>
                </a:graphic>
              </wp:anchor>
            </w:drawing>
          </mc:Choice>
          <mc:Fallback>
            <w:pict>
              <v:line id="直接连接符 1" o:spid="_x0000_s1026" o:spt="20" style="position:absolute;left:0pt;flip:y;margin-left:-2.15pt;margin-top:706.5pt;height:0pt;width:484.5pt;mso-position-vertical-relative:page;z-index:251663360;mso-width-relative:page;mso-height-relative:page;" filled="f" stroked="t" coordsize="21600,21600" o:gfxdata="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DjytgLXAAAADAEAAA8AAAAAAAAAAQAgAAAAIgAAAGRycy9kb3ducmV2LnhtbFBLAQIUABQA&#10;AAAIAIdO4kC8B0X28QEAALwDAAAOAAAAAAAAAAEAIAAAACYBAABkcnMvZTJvRG9jLnhtbFBLBQYA&#10;AAAABgAGAFkBAACJBQAAAAA=&#10;">
                <v:fill on="f" focussize="0,0"/>
                <v:stroke color="#000000" joinstyle="round"/>
                <v:imagedata o:title=""/>
                <o:lock v:ext="edit" aspectratio="f"/>
                <w10:anchorlock/>
              </v:line>
            </w:pict>
          </mc:Fallback>
        </mc:AlternateContent>
      </w:r>
    </w:p>
    <w:p>
      <w:pPr>
        <w:framePr w:w="3997" w:h="471" w:hRule="exact" w:vSpace="181" w:wrap="around" w:vAnchor="page" w:hAnchor="page" w:x="6871" w:y="13516" w:anchorLock="1"/>
        <w:widowControl/>
        <w:jc w:val="right"/>
        <w:rPr>
          <w:rFonts w:eastAsia="黑体"/>
          <w:kern w:val="0"/>
          <w:sz w:val="28"/>
          <w:szCs w:val="20"/>
        </w:rPr>
      </w:pPr>
      <w:r>
        <w:rPr>
          <w:rFonts w:eastAsia="黑体"/>
          <w:kern w:val="0"/>
          <w:sz w:val="28"/>
          <w:szCs w:val="20"/>
        </w:rPr>
        <w:t>XXXX-XX -XX实施</w:t>
      </w:r>
    </w:p>
    <w:p>
      <w:pPr>
        <w:widowControl/>
        <w:tabs>
          <w:tab w:val="center" w:pos="4201"/>
          <w:tab w:val="right" w:leader="dot" w:pos="9298"/>
        </w:tabs>
        <w:autoSpaceDE w:val="0"/>
        <w:autoSpaceDN w:val="0"/>
        <w:rPr>
          <w:kern w:val="0"/>
          <w:szCs w:val="20"/>
        </w:rPr>
      </w:pPr>
    </w:p>
    <w:p/>
    <w:p/>
    <w:p/>
    <w:p/>
    <w:p/>
    <w:p/>
    <w:p/>
    <w:p/>
    <w:p/>
    <w:p/>
    <w:p/>
    <w:p/>
    <w:p/>
    <w:p/>
    <w:p/>
    <w:p/>
    <w:p/>
    <w:p/>
    <w:p/>
    <w:p/>
    <w:p/>
    <w:p/>
    <w:p>
      <w:pPr>
        <w:pStyle w:val="117"/>
        <w:framePr w:wrap="around" w:x="2396" w:y="15091"/>
        <w:snapToGrid w:val="0"/>
        <w:spacing w:line="240" w:lineRule="auto"/>
        <w:rPr>
          <w:rFonts w:ascii="Times New Roman"/>
          <w:spacing w:val="0"/>
          <w:w w:val="100"/>
        </w:rPr>
      </w:pPr>
    </w:p>
    <w:p>
      <w:pPr>
        <w:pStyle w:val="25"/>
        <w:rPr>
          <w:rFonts w:ascii="Times New Roman"/>
        </w:rPr>
        <w:sectPr>
          <w:pgSz w:w="11906" w:h="16838"/>
          <w:pgMar w:top="567" w:right="850" w:bottom="1134" w:left="1418" w:header="0" w:footer="0" w:gutter="0"/>
          <w:pgNumType w:fmt="upperRoman" w:start="1"/>
          <w:cols w:space="720" w:num="1"/>
          <w:docGrid w:type="lines" w:linePitch="312" w:charSpace="0"/>
        </w:sectPr>
      </w:pPr>
      <w:r>
        <w:rPr>
          <w:rFonts w:ascii="Times New Roman"/>
        </w:rPr>
        <mc:AlternateContent>
          <mc:Choice Requires="wps">
            <w:drawing>
              <wp:anchor distT="0" distB="0" distL="114300" distR="114300" simplePos="0" relativeHeight="251659264" behindDoc="0" locked="0" layoutInCell="1" allowOverlap="1">
                <wp:simplePos x="0" y="0"/>
                <wp:positionH relativeFrom="column">
                  <wp:posOffset>-36195</wp:posOffset>
                </wp:positionH>
                <wp:positionV relativeFrom="paragraph">
                  <wp:posOffset>751840</wp:posOffset>
                </wp:positionV>
                <wp:extent cx="6120130" cy="0"/>
                <wp:effectExtent l="13970" t="13970" r="9525" b="5080"/>
                <wp:wrapNone/>
                <wp:docPr id="1846930753" name="直线 11"/>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cmpd="sng">
                          <a:solidFill>
                            <a:srgbClr val="000000"/>
                          </a:solidFill>
                          <a:round/>
                        </a:ln>
                      </wps:spPr>
                      <wps:bodyPr/>
                    </wps:wsp>
                  </a:graphicData>
                </a:graphic>
              </wp:anchor>
            </w:drawing>
          </mc:Choice>
          <mc:Fallback>
            <w:pict>
              <v:line id="直线 11" o:spid="_x0000_s1026" o:spt="20" style="position:absolute;left:0pt;margin-left:-2.85pt;margin-top:59.2pt;height:0pt;width:481.9pt;z-index:251659264;mso-width-relative:page;mso-height-relative:page;" filled="f" stroked="t" coordsize="21600,21600" o:gfxdata="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GG+aGPXAAAA&#10;CgEAAA8AAAAAAAAAAQAgAAAAIgAAAGRycy9kb3ducmV2LnhtbFBLAQIUABQAAAAIAIdO4kAp5O/2&#10;5QEAALYDAAAOAAAAAAAAAAEAIAAAACYBAABkcnMvZTJvRG9jLnhtbFBLBQYAAAAABgAGAFkBAAB9&#10;BQAAAAA=&#10;">
                <v:fill on="f" focussize="0,0"/>
                <v:stroke color="#000000" joinstyle="round"/>
                <v:imagedata o:title=""/>
                <o:lock v:ext="edit" aspectratio="f"/>
              </v:line>
            </w:pict>
          </mc:Fallback>
        </mc:AlternateContent>
      </w:r>
    </w:p>
    <w:sdt>
      <w:sdtPr>
        <w:rPr>
          <w:rFonts w:ascii="Times New Roman"/>
          <w:lang w:val="zh-CN"/>
        </w:rPr>
        <w:id w:val="-1188673059"/>
        <w:docPartObj>
          <w:docPartGallery w:val="Table of Contents"/>
          <w:docPartUnique/>
        </w:docPartObj>
      </w:sdtPr>
      <w:sdtEndPr>
        <w:rPr>
          <w:rStyle w:val="40"/>
          <w:rFonts w:ascii="Times New Roman"/>
          <w:color w:val="0000FF"/>
          <w:u w:val="single"/>
          <w:lang w:val="en-US"/>
        </w:rPr>
      </w:sdtEndPr>
      <w:sdtContent>
        <w:p>
          <w:pPr>
            <w:pStyle w:val="21"/>
            <w:jc w:val="center"/>
            <w:rPr>
              <w:rFonts w:ascii="Times New Roman" w:eastAsia="黑体"/>
              <w:kern w:val="0"/>
              <w:sz w:val="32"/>
              <w:szCs w:val="20"/>
            </w:rPr>
          </w:pPr>
          <w:bookmarkStart w:id="0" w:name="_Toc154394134"/>
          <w:bookmarkStart w:id="1" w:name="_Toc156372483"/>
          <w:bookmarkStart w:id="2" w:name="_Toc154393921"/>
          <w:r>
            <w:rPr>
              <w:rFonts w:ascii="Times New Roman" w:eastAsia="黑体"/>
              <w:kern w:val="0"/>
              <w:sz w:val="32"/>
              <w:szCs w:val="20"/>
            </w:rPr>
            <w:t>目  次</w:t>
          </w:r>
          <w:bookmarkEnd w:id="0"/>
          <w:bookmarkEnd w:id="1"/>
          <w:bookmarkEnd w:id="2"/>
        </w:p>
        <w:p>
          <w:pPr>
            <w:pStyle w:val="30"/>
            <w:rPr>
              <w:rStyle w:val="40"/>
              <w:rFonts w:ascii="Times New Roman"/>
            </w:rPr>
          </w:pPr>
          <w:r>
            <w:rPr>
              <w:rStyle w:val="40"/>
              <w:rFonts w:ascii="Times New Roman"/>
              <w:kern w:val="0"/>
            </w:rPr>
            <w:fldChar w:fldCharType="begin"/>
          </w:r>
          <w:r>
            <w:rPr>
              <w:rStyle w:val="40"/>
              <w:rFonts w:ascii="Times New Roman"/>
            </w:rPr>
            <w:instrText xml:space="preserve"> TOC \o "1-2" \h \z \u </w:instrText>
          </w:r>
          <w:r>
            <w:rPr>
              <w:rStyle w:val="40"/>
              <w:rFonts w:ascii="Times New Roman"/>
              <w:kern w:val="0"/>
            </w:rPr>
            <w:fldChar w:fldCharType="separate"/>
          </w:r>
          <w:r>
            <w:fldChar w:fldCharType="begin"/>
          </w:r>
          <w:r>
            <w:instrText xml:space="preserve"> HYPERLINK \l "_Toc160171426" </w:instrText>
          </w:r>
          <w:r>
            <w:fldChar w:fldCharType="separate"/>
          </w:r>
          <w:r>
            <w:rPr>
              <w:rStyle w:val="40"/>
              <w:rFonts w:ascii="Times New Roman"/>
            </w:rPr>
            <w:t>前  言</w:t>
          </w:r>
          <w:r>
            <w:rPr>
              <w:rStyle w:val="40"/>
              <w:rFonts w:ascii="Times New Roman"/>
            </w:rPr>
            <w:tab/>
          </w:r>
          <w:r>
            <w:rPr>
              <w:rStyle w:val="40"/>
              <w:rFonts w:ascii="Times New Roman"/>
            </w:rPr>
            <w:fldChar w:fldCharType="begin"/>
          </w:r>
          <w:r>
            <w:rPr>
              <w:rStyle w:val="40"/>
              <w:rFonts w:ascii="Times New Roman"/>
            </w:rPr>
            <w:instrText xml:space="preserve"> PAGEREF _Toc160171426 \h </w:instrText>
          </w:r>
          <w:r>
            <w:rPr>
              <w:rStyle w:val="40"/>
              <w:rFonts w:ascii="Times New Roman"/>
            </w:rPr>
            <w:fldChar w:fldCharType="separate"/>
          </w:r>
          <w:r>
            <w:rPr>
              <w:rStyle w:val="40"/>
              <w:rFonts w:ascii="Times New Roman"/>
            </w:rPr>
            <w:t>II</w:t>
          </w:r>
          <w:r>
            <w:rPr>
              <w:rStyle w:val="40"/>
              <w:rFonts w:ascii="Times New Roman"/>
            </w:rPr>
            <w:fldChar w:fldCharType="end"/>
          </w:r>
          <w:r>
            <w:rPr>
              <w:rStyle w:val="40"/>
              <w:rFonts w:ascii="Times New Roman"/>
            </w:rPr>
            <w:fldChar w:fldCharType="end"/>
          </w:r>
        </w:p>
        <w:p>
          <w:pPr>
            <w:pStyle w:val="30"/>
            <w:rPr>
              <w:rFonts w:ascii="Times New Roman"/>
            </w:rPr>
          </w:pPr>
          <w:r>
            <w:fldChar w:fldCharType="begin"/>
          </w:r>
          <w:r>
            <w:instrText xml:space="preserve"> HYPERLINK \l "_Toc160171427" </w:instrText>
          </w:r>
          <w:r>
            <w:fldChar w:fldCharType="separate"/>
          </w:r>
          <w:r>
            <w:rPr>
              <w:rStyle w:val="40"/>
              <w:rFonts w:ascii="Times New Roman"/>
            </w:rPr>
            <w:t>1 范围</w:t>
          </w:r>
          <w:r>
            <w:rPr>
              <w:rFonts w:ascii="Times New Roman"/>
            </w:rPr>
            <w:tab/>
          </w:r>
          <w:r>
            <w:rPr>
              <w:rFonts w:ascii="Times New Roman"/>
            </w:rPr>
            <w:fldChar w:fldCharType="begin"/>
          </w:r>
          <w:r>
            <w:rPr>
              <w:rFonts w:ascii="Times New Roman"/>
            </w:rPr>
            <w:instrText xml:space="preserve"> PAGEREF _Toc160171427 \h </w:instrText>
          </w:r>
          <w:r>
            <w:rPr>
              <w:rFonts w:ascii="Times New Roman"/>
            </w:rPr>
            <w:fldChar w:fldCharType="separate"/>
          </w:r>
          <w:r>
            <w:rPr>
              <w:rFonts w:ascii="Times New Roman"/>
            </w:rPr>
            <w:t>1</w:t>
          </w:r>
          <w:r>
            <w:rPr>
              <w:rFonts w:ascii="Times New Roman"/>
            </w:rPr>
            <w:fldChar w:fldCharType="end"/>
          </w:r>
          <w:r>
            <w:rPr>
              <w:rFonts w:ascii="Times New Roman"/>
            </w:rPr>
            <w:fldChar w:fldCharType="end"/>
          </w:r>
        </w:p>
        <w:p>
          <w:pPr>
            <w:pStyle w:val="30"/>
            <w:rPr>
              <w:rFonts w:ascii="Times New Roman"/>
            </w:rPr>
          </w:pPr>
          <w:r>
            <w:fldChar w:fldCharType="begin"/>
          </w:r>
          <w:r>
            <w:instrText xml:space="preserve"> HYPERLINK \l "_Toc160171428" </w:instrText>
          </w:r>
          <w:r>
            <w:fldChar w:fldCharType="separate"/>
          </w:r>
          <w:r>
            <w:rPr>
              <w:rStyle w:val="40"/>
              <w:rFonts w:ascii="Times New Roman"/>
            </w:rPr>
            <w:t>2 规范性引用文件</w:t>
          </w:r>
          <w:r>
            <w:rPr>
              <w:rFonts w:ascii="Times New Roman"/>
            </w:rPr>
            <w:tab/>
          </w:r>
          <w:r>
            <w:rPr>
              <w:rFonts w:ascii="Times New Roman"/>
            </w:rPr>
            <w:fldChar w:fldCharType="begin"/>
          </w:r>
          <w:r>
            <w:rPr>
              <w:rFonts w:ascii="Times New Roman"/>
            </w:rPr>
            <w:instrText xml:space="preserve"> PAGEREF _Toc160171428 \h </w:instrText>
          </w:r>
          <w:r>
            <w:rPr>
              <w:rFonts w:ascii="Times New Roman"/>
            </w:rPr>
            <w:fldChar w:fldCharType="separate"/>
          </w:r>
          <w:r>
            <w:rPr>
              <w:rFonts w:ascii="Times New Roman"/>
            </w:rPr>
            <w:t>1</w:t>
          </w:r>
          <w:r>
            <w:rPr>
              <w:rFonts w:ascii="Times New Roman"/>
            </w:rPr>
            <w:fldChar w:fldCharType="end"/>
          </w:r>
          <w:r>
            <w:rPr>
              <w:rFonts w:ascii="Times New Roman"/>
            </w:rPr>
            <w:fldChar w:fldCharType="end"/>
          </w:r>
        </w:p>
        <w:p>
          <w:pPr>
            <w:pStyle w:val="30"/>
            <w:rPr>
              <w:rFonts w:ascii="Times New Roman"/>
            </w:rPr>
          </w:pPr>
          <w:r>
            <w:fldChar w:fldCharType="begin"/>
          </w:r>
          <w:r>
            <w:instrText xml:space="preserve"> HYPERLINK \l "_Toc160171429" </w:instrText>
          </w:r>
          <w:r>
            <w:fldChar w:fldCharType="separate"/>
          </w:r>
          <w:r>
            <w:rPr>
              <w:rStyle w:val="40"/>
              <w:rFonts w:ascii="Times New Roman"/>
            </w:rPr>
            <w:t>3 术语和定义</w:t>
          </w:r>
          <w:r>
            <w:rPr>
              <w:rFonts w:ascii="Times New Roman"/>
            </w:rPr>
            <w:tab/>
          </w:r>
          <w:r>
            <w:rPr>
              <w:rFonts w:ascii="Times New Roman"/>
            </w:rPr>
            <w:fldChar w:fldCharType="begin"/>
          </w:r>
          <w:r>
            <w:rPr>
              <w:rFonts w:ascii="Times New Roman"/>
            </w:rPr>
            <w:instrText xml:space="preserve"> PAGEREF _Toc160171429 \h </w:instrText>
          </w:r>
          <w:r>
            <w:rPr>
              <w:rFonts w:ascii="Times New Roman"/>
            </w:rPr>
            <w:fldChar w:fldCharType="separate"/>
          </w:r>
          <w:r>
            <w:rPr>
              <w:rFonts w:ascii="Times New Roman"/>
            </w:rPr>
            <w:t>1</w:t>
          </w:r>
          <w:r>
            <w:rPr>
              <w:rFonts w:ascii="Times New Roman"/>
            </w:rPr>
            <w:fldChar w:fldCharType="end"/>
          </w:r>
          <w:r>
            <w:rPr>
              <w:rFonts w:ascii="Times New Roman"/>
            </w:rPr>
            <w:fldChar w:fldCharType="end"/>
          </w:r>
        </w:p>
        <w:p>
          <w:pPr>
            <w:pStyle w:val="30"/>
            <w:rPr>
              <w:rFonts w:ascii="Times New Roman"/>
            </w:rPr>
          </w:pPr>
          <w:r>
            <w:fldChar w:fldCharType="begin"/>
          </w:r>
          <w:r>
            <w:instrText xml:space="preserve"> HYPERLINK \l "_Toc160171430" </w:instrText>
          </w:r>
          <w:r>
            <w:fldChar w:fldCharType="separate"/>
          </w:r>
          <w:r>
            <w:rPr>
              <w:rStyle w:val="40"/>
              <w:rFonts w:ascii="Times New Roman"/>
            </w:rPr>
            <w:t>4 一般要求</w:t>
          </w:r>
          <w:r>
            <w:rPr>
              <w:rFonts w:ascii="Times New Roman"/>
            </w:rPr>
            <w:tab/>
          </w:r>
          <w:r>
            <w:rPr>
              <w:rFonts w:ascii="Times New Roman"/>
            </w:rPr>
            <w:fldChar w:fldCharType="begin"/>
          </w:r>
          <w:r>
            <w:rPr>
              <w:rFonts w:ascii="Times New Roman"/>
            </w:rPr>
            <w:instrText xml:space="preserve"> PAGEREF _Toc160171430 \h </w:instrText>
          </w:r>
          <w:r>
            <w:rPr>
              <w:rFonts w:ascii="Times New Roman"/>
            </w:rPr>
            <w:fldChar w:fldCharType="separate"/>
          </w:r>
          <w:r>
            <w:rPr>
              <w:rFonts w:ascii="Times New Roman"/>
            </w:rPr>
            <w:t>2</w:t>
          </w:r>
          <w:r>
            <w:rPr>
              <w:rFonts w:ascii="Times New Roman"/>
            </w:rPr>
            <w:fldChar w:fldCharType="end"/>
          </w:r>
          <w:r>
            <w:rPr>
              <w:rFonts w:ascii="Times New Roman"/>
            </w:rPr>
            <w:fldChar w:fldCharType="end"/>
          </w:r>
        </w:p>
        <w:p>
          <w:pPr>
            <w:pStyle w:val="30"/>
            <w:rPr>
              <w:rFonts w:ascii="Times New Roman"/>
            </w:rPr>
          </w:pPr>
          <w:r>
            <w:fldChar w:fldCharType="begin"/>
          </w:r>
          <w:r>
            <w:instrText xml:space="preserve"> HYPERLINK \l "_Toc160171431" </w:instrText>
          </w:r>
          <w:r>
            <w:fldChar w:fldCharType="separate"/>
          </w:r>
          <w:r>
            <w:rPr>
              <w:rStyle w:val="40"/>
              <w:rFonts w:ascii="Times New Roman"/>
            </w:rPr>
            <w:t>5 系统设计</w:t>
          </w:r>
          <w:r>
            <w:rPr>
              <w:rFonts w:ascii="Times New Roman"/>
            </w:rPr>
            <w:tab/>
          </w:r>
          <w:r>
            <w:rPr>
              <w:rFonts w:ascii="Times New Roman"/>
            </w:rPr>
            <w:fldChar w:fldCharType="begin"/>
          </w:r>
          <w:r>
            <w:rPr>
              <w:rFonts w:ascii="Times New Roman"/>
            </w:rPr>
            <w:instrText xml:space="preserve"> PAGEREF _Toc160171431 \h </w:instrText>
          </w:r>
          <w:r>
            <w:rPr>
              <w:rFonts w:ascii="Times New Roman"/>
            </w:rPr>
            <w:fldChar w:fldCharType="separate"/>
          </w:r>
          <w:r>
            <w:rPr>
              <w:rFonts w:ascii="Times New Roman"/>
            </w:rPr>
            <w:t>3</w:t>
          </w:r>
          <w:r>
            <w:rPr>
              <w:rFonts w:ascii="Times New Roman"/>
            </w:rPr>
            <w:fldChar w:fldCharType="end"/>
          </w:r>
          <w:r>
            <w:rPr>
              <w:rFonts w:ascii="Times New Roman"/>
            </w:rPr>
            <w:fldChar w:fldCharType="end"/>
          </w:r>
        </w:p>
        <w:p>
          <w:pPr>
            <w:pStyle w:val="30"/>
            <w:rPr>
              <w:rFonts w:ascii="Times New Roman"/>
            </w:rPr>
          </w:pPr>
          <w:r>
            <w:fldChar w:fldCharType="begin"/>
          </w:r>
          <w:r>
            <w:instrText xml:space="preserve"> HYPERLINK \l "_Toc160171432" </w:instrText>
          </w:r>
          <w:r>
            <w:fldChar w:fldCharType="separate"/>
          </w:r>
          <w:r>
            <w:rPr>
              <w:rStyle w:val="40"/>
              <w:rFonts w:ascii="Times New Roman"/>
            </w:rPr>
            <w:t>6 故障监测</w:t>
          </w:r>
          <w:r>
            <w:rPr>
              <w:rFonts w:ascii="Times New Roman"/>
            </w:rPr>
            <w:tab/>
          </w:r>
          <w:r>
            <w:rPr>
              <w:rFonts w:ascii="Times New Roman"/>
            </w:rPr>
            <w:fldChar w:fldCharType="begin"/>
          </w:r>
          <w:r>
            <w:rPr>
              <w:rFonts w:ascii="Times New Roman"/>
            </w:rPr>
            <w:instrText xml:space="preserve"> PAGEREF _Toc160171432 \h </w:instrText>
          </w:r>
          <w:r>
            <w:rPr>
              <w:rFonts w:ascii="Times New Roman"/>
            </w:rPr>
            <w:fldChar w:fldCharType="separate"/>
          </w:r>
          <w:r>
            <w:rPr>
              <w:rFonts w:ascii="Times New Roman"/>
            </w:rPr>
            <w:t>4</w:t>
          </w:r>
          <w:r>
            <w:rPr>
              <w:rFonts w:ascii="Times New Roman"/>
            </w:rPr>
            <w:fldChar w:fldCharType="end"/>
          </w:r>
          <w:r>
            <w:rPr>
              <w:rFonts w:ascii="Times New Roman"/>
            </w:rPr>
            <w:fldChar w:fldCharType="end"/>
          </w:r>
        </w:p>
        <w:p>
          <w:pPr>
            <w:pStyle w:val="30"/>
            <w:rPr>
              <w:rFonts w:ascii="Times New Roman"/>
            </w:rPr>
          </w:pPr>
          <w:r>
            <w:fldChar w:fldCharType="begin"/>
          </w:r>
          <w:r>
            <w:instrText xml:space="preserve"> HYPERLINK \l "_Toc160171433" </w:instrText>
          </w:r>
          <w:r>
            <w:fldChar w:fldCharType="separate"/>
          </w:r>
          <w:r>
            <w:rPr>
              <w:rStyle w:val="40"/>
              <w:rFonts w:ascii="Times New Roman"/>
            </w:rPr>
            <w:t>7 故障处置</w:t>
          </w:r>
          <w:r>
            <w:rPr>
              <w:rFonts w:ascii="Times New Roman"/>
            </w:rPr>
            <w:tab/>
          </w:r>
          <w:r>
            <w:rPr>
              <w:rFonts w:ascii="Times New Roman"/>
            </w:rPr>
            <w:fldChar w:fldCharType="begin"/>
          </w:r>
          <w:r>
            <w:rPr>
              <w:rFonts w:ascii="Times New Roman"/>
            </w:rPr>
            <w:instrText xml:space="preserve"> PAGEREF _Toc160171433 \h </w:instrText>
          </w:r>
          <w:r>
            <w:rPr>
              <w:rFonts w:ascii="Times New Roman"/>
            </w:rPr>
            <w:fldChar w:fldCharType="separate"/>
          </w:r>
          <w:r>
            <w:rPr>
              <w:rFonts w:ascii="Times New Roman"/>
            </w:rPr>
            <w:t>4</w:t>
          </w:r>
          <w:r>
            <w:rPr>
              <w:rFonts w:ascii="Times New Roman"/>
            </w:rPr>
            <w:fldChar w:fldCharType="end"/>
          </w:r>
          <w:r>
            <w:rPr>
              <w:rFonts w:ascii="Times New Roman"/>
            </w:rPr>
            <w:fldChar w:fldCharType="end"/>
          </w:r>
        </w:p>
        <w:p>
          <w:pPr>
            <w:pStyle w:val="30"/>
            <w:rPr>
              <w:rFonts w:ascii="Times New Roman"/>
            </w:rPr>
          </w:pPr>
          <w:r>
            <w:fldChar w:fldCharType="begin"/>
          </w:r>
          <w:r>
            <w:instrText xml:space="preserve"> HYPERLINK \l "_Toc160171434" </w:instrText>
          </w:r>
          <w:r>
            <w:fldChar w:fldCharType="separate"/>
          </w:r>
          <w:r>
            <w:rPr>
              <w:rStyle w:val="40"/>
              <w:rFonts w:ascii="Times New Roman"/>
            </w:rPr>
            <w:t>8 电气火灾分析</w:t>
          </w:r>
          <w:r>
            <w:rPr>
              <w:rFonts w:ascii="Times New Roman"/>
            </w:rPr>
            <w:tab/>
          </w:r>
          <w:r>
            <w:rPr>
              <w:rFonts w:ascii="Times New Roman"/>
            </w:rPr>
            <w:fldChar w:fldCharType="begin"/>
          </w:r>
          <w:r>
            <w:rPr>
              <w:rFonts w:ascii="Times New Roman"/>
            </w:rPr>
            <w:instrText xml:space="preserve"> PAGEREF _Toc160171434 \h </w:instrText>
          </w:r>
          <w:r>
            <w:rPr>
              <w:rFonts w:ascii="Times New Roman"/>
            </w:rPr>
            <w:fldChar w:fldCharType="separate"/>
          </w:r>
          <w:r>
            <w:rPr>
              <w:rFonts w:ascii="Times New Roman"/>
            </w:rPr>
            <w:t>4</w:t>
          </w:r>
          <w:r>
            <w:rPr>
              <w:rFonts w:ascii="Times New Roman"/>
            </w:rPr>
            <w:fldChar w:fldCharType="end"/>
          </w:r>
          <w:r>
            <w:rPr>
              <w:rFonts w:ascii="Times New Roman"/>
            </w:rPr>
            <w:fldChar w:fldCharType="end"/>
          </w:r>
        </w:p>
        <w:p>
          <w:pPr>
            <w:pStyle w:val="30"/>
            <w:spacing w:before="78" w:beforeLines="25" w:after="78" w:afterLines="25"/>
            <w:rPr>
              <w:rStyle w:val="40"/>
              <w:rFonts w:ascii="Times New Roman"/>
            </w:rPr>
          </w:pPr>
          <w:r>
            <w:rPr>
              <w:rStyle w:val="40"/>
              <w:rFonts w:ascii="Times New Roman"/>
            </w:rPr>
            <w:fldChar w:fldCharType="end"/>
          </w:r>
        </w:p>
      </w:sdtContent>
    </w:sdt>
    <w:p>
      <w:pPr>
        <w:pStyle w:val="118"/>
        <w:tabs>
          <w:tab w:val="center" w:pos="4677"/>
          <w:tab w:val="left" w:pos="8570"/>
        </w:tabs>
        <w:rPr>
          <w:rFonts w:ascii="Times New Roman"/>
        </w:rPr>
      </w:pPr>
      <w:bookmarkStart w:id="3" w:name="_Toc160171426"/>
      <w:bookmarkStart w:id="4" w:name="_Toc145491370"/>
      <w:bookmarkStart w:id="5" w:name="_Hlk146014738"/>
      <w:r>
        <w:rPr>
          <w:rFonts w:ascii="Times New Roman"/>
        </w:rPr>
        <w:t>前</w:t>
      </w:r>
      <w:bookmarkStart w:id="6" w:name="BKQY"/>
      <w:r>
        <w:rPr>
          <w:rFonts w:ascii="Times New Roman"/>
        </w:rPr>
        <w:t>  言</w:t>
      </w:r>
      <w:bookmarkEnd w:id="3"/>
      <w:bookmarkEnd w:id="4"/>
      <w:bookmarkEnd w:id="6"/>
    </w:p>
    <w:p>
      <w:pPr>
        <w:autoSpaceDE w:val="0"/>
        <w:autoSpaceDN w:val="0"/>
        <w:adjustRightInd w:val="0"/>
        <w:ind w:firstLine="420" w:firstLineChars="200"/>
        <w:jc w:val="left"/>
        <w:rPr>
          <w:szCs w:val="21"/>
        </w:rPr>
      </w:pPr>
      <w:r>
        <w:rPr>
          <w:szCs w:val="21"/>
        </w:rPr>
        <w:t>本文件按照GB/T 1.1—2020《标准化工作导则 第1部分：标准化文件的结构和起草规则》的规定起草。</w:t>
      </w:r>
    </w:p>
    <w:p>
      <w:pPr>
        <w:autoSpaceDE w:val="0"/>
        <w:autoSpaceDN w:val="0"/>
        <w:adjustRightInd w:val="0"/>
        <w:ind w:firstLine="420" w:firstLineChars="200"/>
        <w:jc w:val="left"/>
        <w:rPr>
          <w:szCs w:val="21"/>
        </w:rPr>
      </w:pPr>
      <w:r>
        <w:rPr>
          <w:szCs w:val="21"/>
        </w:rPr>
        <w:t>本文件的某些内容可能涉及专利。本文件的发布机构不承担识别专利的责任。</w:t>
      </w:r>
    </w:p>
    <w:p>
      <w:pPr>
        <w:autoSpaceDE w:val="0"/>
        <w:autoSpaceDN w:val="0"/>
        <w:adjustRightInd w:val="0"/>
        <w:ind w:firstLine="420" w:firstLineChars="200"/>
        <w:jc w:val="left"/>
        <w:rPr>
          <w:szCs w:val="21"/>
        </w:rPr>
      </w:pPr>
      <w:r>
        <w:rPr>
          <w:szCs w:val="21"/>
        </w:rPr>
        <w:t>本文件由</w:t>
      </w:r>
      <w:r>
        <w:rPr>
          <w:rFonts w:hint="eastAsia"/>
          <w:szCs w:val="21"/>
        </w:rPr>
        <w:t>国网湖北省电力公司电力科学研究院</w:t>
      </w:r>
      <w:r>
        <w:rPr>
          <w:szCs w:val="21"/>
        </w:rPr>
        <w:t>提出。</w:t>
      </w:r>
    </w:p>
    <w:p>
      <w:pPr>
        <w:autoSpaceDE w:val="0"/>
        <w:autoSpaceDN w:val="0"/>
        <w:adjustRightInd w:val="0"/>
        <w:ind w:firstLine="420" w:firstLineChars="200"/>
        <w:jc w:val="left"/>
        <w:rPr>
          <w:szCs w:val="21"/>
        </w:rPr>
      </w:pPr>
      <w:r>
        <w:rPr>
          <w:szCs w:val="21"/>
        </w:rPr>
        <w:t>本文件由中国消防协会归口。</w:t>
      </w:r>
    </w:p>
    <w:p>
      <w:pPr>
        <w:autoSpaceDE w:val="0"/>
        <w:autoSpaceDN w:val="0"/>
        <w:adjustRightInd w:val="0"/>
        <w:ind w:firstLine="420" w:firstLineChars="200"/>
        <w:jc w:val="left"/>
        <w:rPr>
          <w:rFonts w:ascii="宋体" w:cs="宋体"/>
          <w:color w:val="000000"/>
          <w:kern w:val="0"/>
          <w:szCs w:val="21"/>
        </w:rPr>
      </w:pPr>
      <w:r>
        <w:rPr>
          <w:szCs w:val="21"/>
        </w:rPr>
        <w:t>本文件起草单位</w:t>
      </w:r>
      <w:r>
        <w:rPr>
          <w:rFonts w:hint="eastAsia"/>
          <w:szCs w:val="21"/>
        </w:rPr>
        <w:t>：</w:t>
      </w:r>
      <w:r>
        <w:rPr>
          <w:rFonts w:hint="eastAsia" w:ascii="宋体" w:cs="宋体"/>
          <w:color w:val="000000"/>
          <w:kern w:val="0"/>
          <w:szCs w:val="21"/>
        </w:rPr>
        <w:t>：</w:t>
      </w:r>
      <w:r>
        <w:rPr>
          <w:rFonts w:hint="eastAsia"/>
          <w:szCs w:val="21"/>
        </w:rPr>
        <w:t>国网湖北省电力有限公司电力科学研究院，山东理工大学，应急管理部沈阳消防研究所，应急管理部天津消防所，温州大学，山东科汇电力自动化股份有限公司，国安达股份有限公司。</w:t>
      </w:r>
    </w:p>
    <w:p>
      <w:pPr>
        <w:autoSpaceDE w:val="0"/>
        <w:autoSpaceDN w:val="0"/>
        <w:adjustRightInd w:val="0"/>
        <w:ind w:firstLine="420" w:firstLineChars="200"/>
        <w:jc w:val="left"/>
        <w:rPr>
          <w:rFonts w:ascii="宋体" w:cs="宋体"/>
          <w:kern w:val="0"/>
          <w:szCs w:val="21"/>
        </w:rPr>
      </w:pPr>
      <w:r>
        <w:rPr>
          <w:rFonts w:hint="eastAsia" w:ascii="宋体" w:cs="宋体"/>
          <w:kern w:val="0"/>
          <w:szCs w:val="21"/>
        </w:rPr>
        <w:t>本文件主要起草人：胡伟，杨帆，沈煜，王玮，宿磊，徐丙垠，王勇俞，李国辉，郭凤仪，杨志淳，雷杨，邹国锋，洪清泉。</w:t>
      </w:r>
    </w:p>
    <w:bookmarkEnd w:id="5"/>
    <w:p>
      <w:pPr>
        <w:pStyle w:val="118"/>
        <w:jc w:val="both"/>
        <w:rPr>
          <w:rFonts w:ascii="Times New Roman"/>
        </w:rPr>
        <w:sectPr>
          <w:headerReference r:id="rId3" w:type="default"/>
          <w:footerReference r:id="rId4" w:type="default"/>
          <w:pgSz w:w="11906" w:h="16838"/>
          <w:pgMar w:top="567" w:right="1134" w:bottom="1134" w:left="1418" w:header="1418" w:footer="1134" w:gutter="0"/>
          <w:pgNumType w:fmt="upperRoman" w:start="1"/>
          <w:cols w:space="720" w:num="1"/>
          <w:formProt w:val="0"/>
          <w:docGrid w:type="lines" w:linePitch="312" w:charSpace="0"/>
        </w:sectPr>
      </w:pPr>
    </w:p>
    <w:p>
      <w:pPr>
        <w:pStyle w:val="48"/>
        <w:jc w:val="center"/>
        <w:rPr>
          <w:rFonts w:ascii="Times New Roman"/>
          <w:sz w:val="32"/>
          <w:szCs w:val="32"/>
        </w:rPr>
      </w:pPr>
      <w:bookmarkStart w:id="7" w:name="_Hlk146014127"/>
      <w:r>
        <w:rPr>
          <w:rFonts w:ascii="Times New Roman"/>
          <w:sz w:val="32"/>
          <w:szCs w:val="32"/>
        </w:rPr>
        <w:t>建筑低压电气线路故障监测、处置及电气</w:t>
      </w:r>
      <w:r>
        <w:rPr>
          <w:rFonts w:hint="eastAsia" w:ascii="Times New Roman"/>
          <w:sz w:val="32"/>
          <w:szCs w:val="32"/>
        </w:rPr>
        <w:t>火灾分析系统</w:t>
      </w:r>
      <w:r>
        <w:rPr>
          <w:rFonts w:ascii="Times New Roman"/>
          <w:sz w:val="32"/>
          <w:szCs w:val="32"/>
        </w:rPr>
        <w:t>技术导则</w:t>
      </w:r>
    </w:p>
    <w:bookmarkEnd w:id="7"/>
    <w:p>
      <w:pPr>
        <w:pStyle w:val="3"/>
        <w:spacing w:before="312" w:beforeLines="100" w:after="312" w:afterLines="100" w:line="240" w:lineRule="auto"/>
        <w:rPr>
          <w:rFonts w:ascii="Times New Roman" w:hAnsi="Times New Roman" w:eastAsia="黑体" w:cs="Times New Roman"/>
          <w:b w:val="0"/>
          <w:bCs w:val="0"/>
          <w:sz w:val="21"/>
          <w:szCs w:val="21"/>
        </w:rPr>
      </w:pPr>
      <w:bookmarkStart w:id="8" w:name="_Toc160171427"/>
      <w:bookmarkStart w:id="9" w:name="_Toc145491371"/>
      <w:r>
        <w:rPr>
          <w:rFonts w:ascii="Times New Roman" w:hAnsi="Times New Roman" w:eastAsia="黑体" w:cs="Times New Roman"/>
          <w:b w:val="0"/>
          <w:bCs w:val="0"/>
          <w:sz w:val="21"/>
          <w:szCs w:val="21"/>
        </w:rPr>
        <w:t>1 范围</w:t>
      </w:r>
      <w:bookmarkEnd w:id="8"/>
      <w:bookmarkEnd w:id="9"/>
    </w:p>
    <w:p>
      <w:pPr>
        <w:pStyle w:val="25"/>
        <w:rPr>
          <w:rFonts w:ascii="Times New Roman"/>
          <w:szCs w:val="21"/>
        </w:rPr>
      </w:pPr>
      <w:bookmarkStart w:id="10" w:name="_Hlk146014158"/>
      <w:r>
        <w:rPr>
          <w:rFonts w:ascii="Times New Roman"/>
          <w:szCs w:val="21"/>
        </w:rPr>
        <w:t>本文件规定了建筑低压电气线路故障监测、处置及电气火灾</w:t>
      </w:r>
      <w:r>
        <w:rPr>
          <w:rFonts w:hint="eastAsia" w:ascii="Times New Roman"/>
          <w:szCs w:val="21"/>
        </w:rPr>
        <w:t>分析系统</w:t>
      </w:r>
      <w:r>
        <w:rPr>
          <w:rFonts w:ascii="Times New Roman"/>
          <w:szCs w:val="21"/>
        </w:rPr>
        <w:t>的术语和定义、一般要求、</w:t>
      </w:r>
      <w:r>
        <w:rPr>
          <w:rFonts w:hint="eastAsia" w:ascii="Times New Roman"/>
          <w:szCs w:val="21"/>
        </w:rPr>
        <w:t>系统设计</w:t>
      </w:r>
      <w:r>
        <w:rPr>
          <w:rFonts w:ascii="Times New Roman"/>
          <w:szCs w:val="21"/>
        </w:rPr>
        <w:t>、</w:t>
      </w:r>
      <w:r>
        <w:rPr>
          <w:rFonts w:hint="eastAsia" w:ascii="Times New Roman"/>
          <w:szCs w:val="21"/>
        </w:rPr>
        <w:t>故障</w:t>
      </w:r>
      <w:r>
        <w:rPr>
          <w:rFonts w:ascii="Times New Roman"/>
        </w:rPr>
        <w:t>监测、故障处置和电气火灾分析</w:t>
      </w:r>
      <w:r>
        <w:rPr>
          <w:rFonts w:hint="eastAsia" w:ascii="Times New Roman"/>
        </w:rPr>
        <w:t>的</w:t>
      </w:r>
      <w:r>
        <w:rPr>
          <w:rFonts w:ascii="Times New Roman"/>
        </w:rPr>
        <w:t>要求</w:t>
      </w:r>
      <w:r>
        <w:rPr>
          <w:rFonts w:ascii="Times New Roman"/>
          <w:szCs w:val="21"/>
        </w:rPr>
        <w:t>。</w:t>
      </w:r>
    </w:p>
    <w:p>
      <w:pPr>
        <w:pStyle w:val="25"/>
        <w:rPr>
          <w:rFonts w:ascii="Times New Roman"/>
          <w:szCs w:val="21"/>
        </w:rPr>
      </w:pPr>
      <w:r>
        <w:rPr>
          <w:rFonts w:ascii="Times New Roman"/>
          <w:szCs w:val="21"/>
        </w:rPr>
        <w:t>本文件适用于建筑低压电气线路故障监测、处置及电气火灾</w:t>
      </w:r>
      <w:r>
        <w:rPr>
          <w:rFonts w:hint="eastAsia" w:ascii="Times New Roman"/>
          <w:szCs w:val="21"/>
        </w:rPr>
        <w:t>分析系统</w:t>
      </w:r>
      <w:r>
        <w:rPr>
          <w:rFonts w:ascii="Times New Roman"/>
          <w:szCs w:val="21"/>
        </w:rPr>
        <w:t>的设计</w:t>
      </w:r>
      <w:r>
        <w:rPr>
          <w:rFonts w:hint="eastAsia" w:ascii="Times New Roman"/>
          <w:szCs w:val="21"/>
        </w:rPr>
        <w:t>和应用</w:t>
      </w:r>
      <w:r>
        <w:rPr>
          <w:rFonts w:ascii="Times New Roman"/>
          <w:szCs w:val="21"/>
        </w:rPr>
        <w:t>。</w:t>
      </w:r>
      <w:bookmarkEnd w:id="10"/>
      <w:bookmarkStart w:id="11" w:name="_Toc145491372"/>
    </w:p>
    <w:p>
      <w:pPr>
        <w:pStyle w:val="3"/>
        <w:spacing w:before="312" w:beforeLines="100" w:after="312" w:afterLines="100" w:line="240" w:lineRule="auto"/>
        <w:rPr>
          <w:rFonts w:ascii="Times New Roman" w:hAnsi="Times New Roman" w:eastAsia="黑体" w:cs="Times New Roman"/>
          <w:b w:val="0"/>
          <w:bCs w:val="0"/>
          <w:sz w:val="21"/>
          <w:szCs w:val="21"/>
        </w:rPr>
      </w:pPr>
      <w:bookmarkStart w:id="12" w:name="_Toc160171428"/>
      <w:r>
        <w:rPr>
          <w:rFonts w:ascii="Times New Roman" w:hAnsi="Times New Roman" w:eastAsia="黑体" w:cs="Times New Roman"/>
          <w:b w:val="0"/>
          <w:bCs w:val="0"/>
          <w:sz w:val="21"/>
          <w:szCs w:val="21"/>
        </w:rPr>
        <w:t>2 规范性引用文件</w:t>
      </w:r>
      <w:bookmarkEnd w:id="11"/>
      <w:bookmarkEnd w:id="12"/>
    </w:p>
    <w:p>
      <w:pPr>
        <w:pStyle w:val="25"/>
        <w:rPr>
          <w:rFonts w:ascii="Times New Roman"/>
          <w:szCs w:val="21"/>
        </w:rPr>
      </w:pPr>
      <w:bookmarkStart w:id="13" w:name="_Hlk146014181"/>
      <w:r>
        <w:rPr>
          <w:rFonts w:ascii="Times New Roman"/>
          <w:szCs w:val="21"/>
        </w:rPr>
        <w:t>下列文件对于本文件的应用是必不可少的。凡是不注日期的引用文件，其最新版本（包括所有的修改</w:t>
      </w:r>
      <w:r>
        <w:rPr>
          <w:rFonts w:hint="eastAsia" w:ascii="Times New Roman"/>
          <w:szCs w:val="21"/>
        </w:rPr>
        <w:t>版本</w:t>
      </w:r>
      <w:r>
        <w:rPr>
          <w:rFonts w:ascii="Times New Roman"/>
          <w:szCs w:val="21"/>
        </w:rPr>
        <w:t>）适用于本文件。</w:t>
      </w:r>
    </w:p>
    <w:p>
      <w:pPr>
        <w:pStyle w:val="25"/>
        <w:rPr>
          <w:rFonts w:ascii="Times New Roman"/>
          <w:szCs w:val="21"/>
        </w:rPr>
      </w:pPr>
      <w:r>
        <w:rPr>
          <w:rFonts w:ascii="Times New Roman"/>
          <w:szCs w:val="21"/>
        </w:rPr>
        <w:t>GB 14287 电气火灾监控系统</w:t>
      </w:r>
    </w:p>
    <w:p>
      <w:pPr>
        <w:pStyle w:val="25"/>
        <w:rPr>
          <w:rFonts w:ascii="Times New Roman"/>
          <w:szCs w:val="21"/>
        </w:rPr>
      </w:pPr>
      <w:r>
        <w:rPr>
          <w:rFonts w:ascii="Times New Roman"/>
          <w:szCs w:val="21"/>
        </w:rPr>
        <w:t>GB 16895.5 低压电气装置第4-43部分 安全防护过电流保护</w:t>
      </w:r>
    </w:p>
    <w:p>
      <w:pPr>
        <w:pStyle w:val="25"/>
        <w:rPr>
          <w:rFonts w:ascii="Times New Roman"/>
          <w:szCs w:val="21"/>
        </w:rPr>
      </w:pPr>
      <w:r>
        <w:rPr>
          <w:rFonts w:ascii="Times New Roman"/>
          <w:szCs w:val="21"/>
        </w:rPr>
        <w:t>GB 50116 火灾自动报警系统设计规范</w:t>
      </w:r>
    </w:p>
    <w:p>
      <w:pPr>
        <w:pStyle w:val="25"/>
        <w:rPr>
          <w:rFonts w:hint="eastAsia" w:ascii="Times New Roman"/>
          <w:szCs w:val="21"/>
        </w:rPr>
      </w:pPr>
      <w:r>
        <w:rPr>
          <w:rFonts w:ascii="Times New Roman"/>
          <w:szCs w:val="21"/>
        </w:rPr>
        <w:t xml:space="preserve">GB 51348 </w:t>
      </w:r>
      <w:r>
        <w:rPr>
          <w:rFonts w:hint="eastAsia" w:ascii="Times New Roman"/>
          <w:szCs w:val="21"/>
        </w:rPr>
        <w:t>民用建筑电气设计标准</w:t>
      </w:r>
    </w:p>
    <w:p>
      <w:pPr>
        <w:pStyle w:val="25"/>
        <w:rPr>
          <w:rFonts w:ascii="Times New Roman"/>
          <w:szCs w:val="21"/>
        </w:rPr>
      </w:pPr>
      <w:r>
        <w:rPr>
          <w:rFonts w:ascii="Times New Roman"/>
          <w:szCs w:val="21"/>
        </w:rPr>
        <w:t>GB/T 14048.2 低压开关设备和控制设备第2部分：断路器</w:t>
      </w:r>
    </w:p>
    <w:p>
      <w:pPr>
        <w:pStyle w:val="25"/>
        <w:rPr>
          <w:rFonts w:hint="eastAsia" w:ascii="Times New Roman"/>
          <w:szCs w:val="21"/>
        </w:rPr>
      </w:pPr>
      <w:r>
        <w:rPr>
          <w:rFonts w:ascii="Times New Roman"/>
          <w:szCs w:val="21"/>
        </w:rPr>
        <w:t xml:space="preserve">GB/T 31143 </w:t>
      </w:r>
      <w:r>
        <w:rPr>
          <w:rFonts w:hint="eastAsia" w:ascii="Times New Roman"/>
          <w:szCs w:val="21"/>
        </w:rPr>
        <w:t>电弧故障保护电器（</w:t>
      </w:r>
      <w:r>
        <w:rPr>
          <w:rFonts w:ascii="Times New Roman"/>
          <w:szCs w:val="21"/>
        </w:rPr>
        <w:t>AFDD</w:t>
      </w:r>
      <w:r>
        <w:rPr>
          <w:rFonts w:hint="eastAsia" w:ascii="Times New Roman"/>
          <w:szCs w:val="21"/>
        </w:rPr>
        <w:t>）的一般要求</w:t>
      </w:r>
    </w:p>
    <w:p>
      <w:pPr>
        <w:pStyle w:val="25"/>
        <w:rPr>
          <w:rFonts w:ascii="Times New Roman"/>
          <w:szCs w:val="21"/>
        </w:rPr>
      </w:pPr>
      <w:r>
        <w:rPr>
          <w:rFonts w:ascii="Times New Roman"/>
          <w:szCs w:val="21"/>
        </w:rPr>
        <w:t>GB/T 40287 电力物联网信息通信总体架构</w:t>
      </w:r>
    </w:p>
    <w:p>
      <w:pPr>
        <w:pStyle w:val="25"/>
        <w:rPr>
          <w:rFonts w:ascii="Times New Roman"/>
          <w:szCs w:val="21"/>
        </w:rPr>
      </w:pPr>
      <w:r>
        <w:rPr>
          <w:rFonts w:ascii="Times New Roman"/>
          <w:szCs w:val="21"/>
        </w:rPr>
        <w:t>GB/T 2900.1 电工术语基本术语</w:t>
      </w:r>
    </w:p>
    <w:p>
      <w:pPr>
        <w:pStyle w:val="25"/>
        <w:rPr>
          <w:rFonts w:ascii="Times New Roman"/>
          <w:szCs w:val="21"/>
        </w:rPr>
      </w:pPr>
      <w:r>
        <w:rPr>
          <w:rFonts w:ascii="Times New Roman"/>
          <w:szCs w:val="21"/>
        </w:rPr>
        <w:t>GB/T 2900.73 电工术语 接地与电击防护</w:t>
      </w:r>
    </w:p>
    <w:p>
      <w:pPr>
        <w:pStyle w:val="25"/>
        <w:rPr>
          <w:rFonts w:ascii="Times New Roman"/>
          <w:szCs w:val="21"/>
        </w:rPr>
      </w:pPr>
      <w:r>
        <w:rPr>
          <w:rFonts w:ascii="Times New Roman"/>
          <w:szCs w:val="21"/>
        </w:rPr>
        <w:t>DL/T 814 配电自动化系统技术规范</w:t>
      </w:r>
    </w:p>
    <w:bookmarkEnd w:id="13"/>
    <w:p>
      <w:pPr>
        <w:pStyle w:val="3"/>
        <w:spacing w:before="312" w:beforeLines="100" w:after="312" w:afterLines="100" w:line="240" w:lineRule="auto"/>
        <w:rPr>
          <w:rFonts w:ascii="Times New Roman" w:hAnsi="Times New Roman" w:eastAsia="黑体" w:cs="Times New Roman"/>
          <w:b w:val="0"/>
          <w:bCs w:val="0"/>
          <w:sz w:val="21"/>
          <w:szCs w:val="21"/>
        </w:rPr>
      </w:pPr>
      <w:bookmarkStart w:id="14" w:name="_Toc160171429"/>
      <w:bookmarkStart w:id="15" w:name="_Toc145491373"/>
      <w:r>
        <w:rPr>
          <w:rFonts w:ascii="Times New Roman" w:hAnsi="Times New Roman" w:eastAsia="黑体" w:cs="Times New Roman"/>
          <w:b w:val="0"/>
          <w:bCs w:val="0"/>
          <w:sz w:val="21"/>
          <w:szCs w:val="21"/>
        </w:rPr>
        <w:t>3 术语和定义</w:t>
      </w:r>
      <w:bookmarkEnd w:id="14"/>
      <w:bookmarkEnd w:id="15"/>
      <w:bookmarkStart w:id="16" w:name="_Toc434922773"/>
    </w:p>
    <w:p>
      <w:pPr>
        <w:pStyle w:val="25"/>
        <w:rPr>
          <w:rFonts w:ascii="Times New Roman"/>
          <w:color w:val="000000"/>
          <w:szCs w:val="21"/>
        </w:rPr>
      </w:pPr>
      <w:r>
        <w:rPr>
          <w:rFonts w:ascii="Times New Roman"/>
          <w:szCs w:val="21"/>
        </w:rPr>
        <w:t>GB/T 2900.1、GB/T 2900.73、DL/T 814</w:t>
      </w:r>
      <w:r>
        <w:rPr>
          <w:rFonts w:ascii="Times New Roman"/>
          <w:color w:val="000000"/>
          <w:szCs w:val="21"/>
        </w:rPr>
        <w:t>界定的以及下列术语和定义适用于本文件。</w:t>
      </w:r>
    </w:p>
    <w:p>
      <w:pPr>
        <w:pStyle w:val="25"/>
        <w:spacing w:before="156" w:beforeLines="50" w:after="156" w:afterLines="50"/>
        <w:ind w:firstLine="0" w:firstLineChars="0"/>
        <w:rPr>
          <w:rFonts w:ascii="Times New Roman" w:eastAsia="黑体"/>
          <w:szCs w:val="21"/>
        </w:rPr>
      </w:pPr>
      <w:r>
        <w:rPr>
          <w:rFonts w:ascii="Times New Roman" w:eastAsia="黑体"/>
          <w:szCs w:val="21"/>
        </w:rPr>
        <w:t xml:space="preserve">3.1 </w:t>
      </w:r>
      <w:bookmarkStart w:id="17" w:name="OLE_LINK36"/>
      <w:r>
        <w:rPr>
          <w:rFonts w:ascii="Times New Roman" w:eastAsia="黑体"/>
          <w:szCs w:val="21"/>
        </w:rPr>
        <w:t>建筑低压电气线路故障监测、处置及电气</w:t>
      </w:r>
      <w:r>
        <w:rPr>
          <w:rFonts w:hint="eastAsia" w:ascii="Times New Roman" w:eastAsia="黑体"/>
          <w:szCs w:val="21"/>
        </w:rPr>
        <w:t>火灾分析</w:t>
      </w:r>
      <w:r>
        <w:rPr>
          <w:rFonts w:ascii="Times New Roman" w:eastAsia="黑体"/>
          <w:szCs w:val="21"/>
        </w:rPr>
        <w:t>系统</w:t>
      </w:r>
      <w:bookmarkEnd w:id="17"/>
      <w:r>
        <w:rPr>
          <w:rFonts w:ascii="Times New Roman" w:eastAsia="黑体"/>
          <w:szCs w:val="21"/>
        </w:rPr>
        <w:t xml:space="preserve"> Monitoring, handling and electrical fire analysis system for low-voltage electrical </w:t>
      </w:r>
      <w:r>
        <w:rPr>
          <w:rFonts w:hint="eastAsia" w:ascii="Times New Roman" w:eastAsia="黑体"/>
          <w:szCs w:val="21"/>
        </w:rPr>
        <w:t>line</w:t>
      </w:r>
      <w:r>
        <w:rPr>
          <w:rFonts w:ascii="Times New Roman" w:eastAsia="黑体"/>
          <w:szCs w:val="21"/>
        </w:rPr>
        <w:t xml:space="preserve"> faults in buildings</w:t>
      </w:r>
    </w:p>
    <w:p>
      <w:pPr>
        <w:pStyle w:val="25"/>
        <w:spacing w:before="156" w:beforeLines="50" w:after="156" w:afterLines="50"/>
        <w:rPr>
          <w:rFonts w:ascii="Times New Roman"/>
          <w:szCs w:val="21"/>
        </w:rPr>
      </w:pPr>
      <w:bookmarkStart w:id="18" w:name="OLE_LINK13"/>
      <w:r>
        <w:rPr>
          <w:rFonts w:ascii="Times New Roman"/>
          <w:szCs w:val="21"/>
        </w:rPr>
        <w:t>建筑低压电气线路故障监测、处置及电气火灾</w:t>
      </w:r>
      <w:r>
        <w:rPr>
          <w:rFonts w:hint="eastAsia" w:ascii="Times New Roman"/>
          <w:szCs w:val="21"/>
        </w:rPr>
        <w:t>分析</w:t>
      </w:r>
      <w:r>
        <w:rPr>
          <w:rFonts w:ascii="Times New Roman"/>
          <w:szCs w:val="21"/>
        </w:rPr>
        <w:t>系统</w:t>
      </w:r>
      <w:bookmarkEnd w:id="18"/>
      <w:r>
        <w:rPr>
          <w:rFonts w:ascii="Times New Roman"/>
          <w:szCs w:val="21"/>
        </w:rPr>
        <w:t>由监测单元、</w:t>
      </w:r>
      <w:r>
        <w:rPr>
          <w:rFonts w:hint="eastAsia" w:ascii="Times New Roman"/>
          <w:szCs w:val="21"/>
        </w:rPr>
        <w:t>子站及主站组成，</w:t>
      </w:r>
      <w:r>
        <w:rPr>
          <w:rFonts w:ascii="Times New Roman"/>
          <w:szCs w:val="21"/>
        </w:rPr>
        <w:t>具备低压电气线路故障监测、处置功能，</w:t>
      </w:r>
      <w:r>
        <w:rPr>
          <w:rFonts w:hint="eastAsia" w:ascii="Times New Roman"/>
          <w:szCs w:val="21"/>
        </w:rPr>
        <w:t>以及</w:t>
      </w:r>
      <w:r>
        <w:rPr>
          <w:rFonts w:ascii="Times New Roman"/>
          <w:szCs w:val="21"/>
        </w:rPr>
        <w:t>利用监测信息</w:t>
      </w:r>
      <w:bookmarkStart w:id="19" w:name="OLE_LINK1"/>
      <w:r>
        <w:rPr>
          <w:rFonts w:ascii="Times New Roman"/>
          <w:szCs w:val="21"/>
        </w:rPr>
        <w:t>对电气线路的火灾原因进行辅助辨识</w:t>
      </w:r>
      <w:bookmarkEnd w:id="19"/>
      <w:r>
        <w:rPr>
          <w:rFonts w:ascii="Times New Roman"/>
          <w:szCs w:val="21"/>
        </w:rPr>
        <w:t>的功能。</w:t>
      </w:r>
      <w:bookmarkEnd w:id="16"/>
      <w:bookmarkStart w:id="20" w:name="_Toc13748201"/>
      <w:bookmarkEnd w:id="20"/>
    </w:p>
    <w:p>
      <w:pPr>
        <w:pStyle w:val="25"/>
        <w:spacing w:before="156" w:beforeLines="50" w:after="156" w:afterLines="50"/>
        <w:ind w:firstLine="0" w:firstLineChars="0"/>
        <w:rPr>
          <w:rFonts w:ascii="Times New Roman" w:eastAsia="黑体"/>
          <w:szCs w:val="21"/>
        </w:rPr>
      </w:pPr>
      <w:r>
        <w:rPr>
          <w:rFonts w:ascii="Times New Roman" w:eastAsia="黑体"/>
          <w:szCs w:val="21"/>
        </w:rPr>
        <w:t>3.2 电气线路故障监测 Electrical line fault monitoring</w:t>
      </w:r>
    </w:p>
    <w:p>
      <w:pPr>
        <w:pStyle w:val="25"/>
        <w:rPr>
          <w:rFonts w:ascii="Times New Roman"/>
          <w:szCs w:val="21"/>
        </w:rPr>
      </w:pPr>
      <w:r>
        <w:rPr>
          <w:rFonts w:ascii="Times New Roman"/>
          <w:szCs w:val="21"/>
        </w:rPr>
        <w:t>利用所采集的电压、电流、剩余电流等信息，对发生于线路的串联电弧、并联电弧、接地、中性线过流等故障进行监测预警。</w:t>
      </w:r>
    </w:p>
    <w:p>
      <w:pPr>
        <w:pStyle w:val="25"/>
        <w:spacing w:before="156" w:beforeLines="50" w:after="156" w:afterLines="50"/>
        <w:ind w:firstLine="0" w:firstLineChars="0"/>
        <w:rPr>
          <w:rFonts w:ascii="Times New Roman" w:eastAsia="黑体"/>
          <w:szCs w:val="21"/>
        </w:rPr>
      </w:pPr>
      <w:r>
        <w:rPr>
          <w:rFonts w:ascii="Times New Roman" w:eastAsia="黑体"/>
          <w:szCs w:val="21"/>
        </w:rPr>
        <w:t>3.3 电气线路故障处置 Electrical line fault handing</w:t>
      </w:r>
    </w:p>
    <w:p>
      <w:pPr>
        <w:pStyle w:val="25"/>
        <w:rPr>
          <w:rFonts w:ascii="Times New Roman"/>
          <w:szCs w:val="21"/>
        </w:rPr>
      </w:pPr>
      <w:r>
        <w:rPr>
          <w:rFonts w:hint="eastAsia" w:ascii="Times New Roman"/>
          <w:szCs w:val="21"/>
        </w:rPr>
        <w:t>当</w:t>
      </w:r>
      <w:r>
        <w:rPr>
          <w:rFonts w:ascii="Times New Roman"/>
          <w:szCs w:val="21"/>
        </w:rPr>
        <w:t>检测到电气线路存在故障后，对故障线路所在区段进行识别、</w:t>
      </w:r>
      <w:r>
        <w:rPr>
          <w:rFonts w:hint="eastAsia" w:ascii="Times New Roman"/>
          <w:szCs w:val="21"/>
        </w:rPr>
        <w:t>报警或</w:t>
      </w:r>
      <w:r>
        <w:rPr>
          <w:rFonts w:ascii="Times New Roman"/>
          <w:szCs w:val="21"/>
        </w:rPr>
        <w:t>故障隔离。故障线路区段识别和报警为电气线路故障处置的必备功能，故障隔离宜根据具体应用需求选择。</w:t>
      </w:r>
    </w:p>
    <w:p>
      <w:pPr>
        <w:pStyle w:val="25"/>
        <w:spacing w:before="156" w:beforeLines="50" w:after="156" w:afterLines="50"/>
        <w:ind w:firstLine="0" w:firstLineChars="0"/>
        <w:rPr>
          <w:rFonts w:ascii="Times New Roman" w:eastAsia="黑体"/>
          <w:szCs w:val="21"/>
        </w:rPr>
      </w:pPr>
      <w:r>
        <w:rPr>
          <w:rFonts w:ascii="Times New Roman" w:eastAsia="黑体"/>
          <w:szCs w:val="21"/>
        </w:rPr>
        <w:t>3.4 电气火灾</w:t>
      </w:r>
      <w:r>
        <w:rPr>
          <w:rFonts w:hint="eastAsia" w:ascii="Times New Roman" w:eastAsia="黑体"/>
          <w:szCs w:val="21"/>
        </w:rPr>
        <w:t>分析</w:t>
      </w:r>
      <w:r>
        <w:rPr>
          <w:rFonts w:ascii="Times New Roman" w:eastAsia="黑体"/>
          <w:szCs w:val="21"/>
        </w:rPr>
        <w:t xml:space="preserve"> Electrical </w:t>
      </w:r>
      <w:r>
        <w:rPr>
          <w:rFonts w:hint="eastAsia" w:ascii="Times New Roman" w:eastAsia="黑体"/>
          <w:szCs w:val="21"/>
        </w:rPr>
        <w:t>f</w:t>
      </w:r>
      <w:r>
        <w:rPr>
          <w:rFonts w:ascii="Times New Roman" w:eastAsia="黑体"/>
          <w:szCs w:val="21"/>
        </w:rPr>
        <w:t>ire analysis</w:t>
      </w:r>
    </w:p>
    <w:p>
      <w:pPr>
        <w:pStyle w:val="25"/>
        <w:rPr>
          <w:rFonts w:ascii="Times New Roman"/>
          <w:szCs w:val="21"/>
        </w:rPr>
      </w:pPr>
      <w:r>
        <w:rPr>
          <w:rFonts w:ascii="Times New Roman"/>
          <w:szCs w:val="21"/>
        </w:rPr>
        <w:t>利用电气线路参数，通过综合分析，辨识电气线路故障类型，辅助电气线路的火灾原因辨识。</w:t>
      </w:r>
    </w:p>
    <w:p>
      <w:pPr>
        <w:pStyle w:val="25"/>
        <w:spacing w:before="156" w:beforeLines="50" w:after="156" w:afterLines="50"/>
        <w:ind w:firstLine="0" w:firstLineChars="0"/>
        <w:rPr>
          <w:rFonts w:ascii="Times New Roman" w:eastAsia="黑体"/>
          <w:szCs w:val="21"/>
        </w:rPr>
      </w:pPr>
      <w:r>
        <w:rPr>
          <w:rFonts w:ascii="Times New Roman" w:eastAsia="黑体"/>
          <w:szCs w:val="21"/>
        </w:rPr>
        <w:t>3.5 监测单元 Monitoring unit</w:t>
      </w:r>
    </w:p>
    <w:p>
      <w:pPr>
        <w:pStyle w:val="25"/>
        <w:rPr>
          <w:rFonts w:ascii="Times New Roman"/>
          <w:szCs w:val="21"/>
        </w:rPr>
      </w:pPr>
      <w:r>
        <w:rPr>
          <w:rFonts w:ascii="Times New Roman"/>
          <w:szCs w:val="21"/>
        </w:rPr>
        <w:t>电气量监测单元和非电气量监测单元</w:t>
      </w:r>
      <w:r>
        <w:rPr>
          <w:rFonts w:hint="eastAsia" w:ascii="Times New Roman"/>
          <w:szCs w:val="21"/>
        </w:rPr>
        <w:t>的总称</w:t>
      </w:r>
      <w:r>
        <w:rPr>
          <w:rFonts w:ascii="Times New Roman"/>
          <w:szCs w:val="21"/>
        </w:rPr>
        <w:t>。</w:t>
      </w:r>
    </w:p>
    <w:p>
      <w:pPr>
        <w:pStyle w:val="25"/>
        <w:rPr>
          <w:rFonts w:ascii="Times New Roman"/>
          <w:szCs w:val="21"/>
        </w:rPr>
      </w:pPr>
      <w:r>
        <w:rPr>
          <w:rFonts w:ascii="Times New Roman"/>
          <w:szCs w:val="21"/>
        </w:rPr>
        <w:t>电气量监测单元指可监测电压、电流、剩余电流等电气量并具备边缘计算、时间同步及通信能力的终端设备。电气量监测单元的隔离功能可根据应用需求选择配置。</w:t>
      </w:r>
    </w:p>
    <w:p>
      <w:pPr>
        <w:pStyle w:val="25"/>
        <w:rPr>
          <w:rFonts w:ascii="Times New Roman"/>
          <w:szCs w:val="21"/>
        </w:rPr>
      </w:pPr>
      <w:r>
        <w:rPr>
          <w:rFonts w:ascii="Times New Roman"/>
          <w:szCs w:val="21"/>
        </w:rPr>
        <w:t>非电气量监测单元指具有对场所温度、光强、烟雾、</w:t>
      </w:r>
      <w:r>
        <w:rPr>
          <w:rFonts w:hint="eastAsia" w:ascii="Times New Roman"/>
          <w:szCs w:val="21"/>
        </w:rPr>
        <w:t>热解粒子</w:t>
      </w:r>
      <w:r>
        <w:rPr>
          <w:rFonts w:ascii="Times New Roman"/>
          <w:szCs w:val="21"/>
        </w:rPr>
        <w:t>等非电气量进行监测、报警</w:t>
      </w:r>
      <w:r>
        <w:rPr>
          <w:rFonts w:hint="eastAsia" w:ascii="Times New Roman"/>
          <w:szCs w:val="21"/>
        </w:rPr>
        <w:t>、时间同步及</w:t>
      </w:r>
      <w:r>
        <w:rPr>
          <w:rFonts w:ascii="Times New Roman"/>
          <w:szCs w:val="21"/>
        </w:rPr>
        <w:t>通信能力的终端设备。</w:t>
      </w:r>
    </w:p>
    <w:p>
      <w:pPr>
        <w:pStyle w:val="3"/>
        <w:spacing w:before="312" w:beforeLines="100" w:after="312" w:afterLines="100" w:line="240" w:lineRule="auto"/>
        <w:rPr>
          <w:rFonts w:ascii="Times New Roman" w:hAnsi="Times New Roman" w:eastAsia="黑体" w:cs="Times New Roman"/>
          <w:b w:val="0"/>
          <w:bCs w:val="0"/>
          <w:sz w:val="21"/>
          <w:szCs w:val="21"/>
        </w:rPr>
      </w:pPr>
      <w:bookmarkStart w:id="21" w:name="_Toc160171430"/>
      <w:bookmarkStart w:id="22" w:name="_Toc145491374"/>
      <w:r>
        <w:rPr>
          <w:rFonts w:ascii="Times New Roman" w:hAnsi="Times New Roman" w:eastAsia="黑体" w:cs="Times New Roman"/>
          <w:b w:val="0"/>
          <w:bCs w:val="0"/>
          <w:sz w:val="21"/>
          <w:szCs w:val="21"/>
        </w:rPr>
        <w:t>4 一般要求</w:t>
      </w:r>
      <w:bookmarkEnd w:id="21"/>
      <w:bookmarkEnd w:id="22"/>
    </w:p>
    <w:p>
      <w:pPr>
        <w:pStyle w:val="25"/>
        <w:ind w:firstLine="0" w:firstLineChars="0"/>
        <w:rPr>
          <w:rFonts w:ascii="Times New Roman" w:eastAsia="黑体"/>
          <w:szCs w:val="21"/>
        </w:rPr>
      </w:pPr>
      <w:bookmarkStart w:id="23" w:name="OLE_LINK46"/>
      <w:r>
        <w:rPr>
          <w:rFonts w:ascii="Times New Roman" w:eastAsia="黑体"/>
          <w:szCs w:val="21"/>
        </w:rPr>
        <w:t>4.1 系统组成</w:t>
      </w:r>
    </w:p>
    <w:p>
      <w:pPr>
        <w:pStyle w:val="25"/>
        <w:rPr>
          <w:rFonts w:ascii="Times New Roman"/>
          <w:szCs w:val="21"/>
        </w:rPr>
      </w:pPr>
      <w:r>
        <w:rPr>
          <w:rFonts w:ascii="Times New Roman"/>
          <w:szCs w:val="21"/>
        </w:rPr>
        <w:t>由监测单元、子站及主站等组成</w:t>
      </w:r>
      <w:r>
        <w:rPr>
          <w:rFonts w:hint="eastAsia" w:ascii="Times New Roman"/>
          <w:szCs w:val="21"/>
        </w:rPr>
        <w:t>。</w:t>
      </w:r>
    </w:p>
    <w:p>
      <w:pPr>
        <w:pStyle w:val="25"/>
        <w:rPr>
          <w:rFonts w:ascii="Times New Roman"/>
          <w:szCs w:val="21"/>
        </w:rPr>
      </w:pPr>
      <w:r>
        <w:rPr>
          <w:rFonts w:ascii="Times New Roman"/>
          <w:szCs w:val="21"/>
        </w:rPr>
        <w:t>故障线路区段识别指主站利用监测单元上报的故障和监测单元身份信息，结合网络拓扑信息，对电气故障点所在的线路区段进行识别。</w:t>
      </w:r>
    </w:p>
    <w:p>
      <w:pPr>
        <w:pStyle w:val="25"/>
        <w:rPr>
          <w:rFonts w:ascii="Times New Roman"/>
          <w:szCs w:val="21"/>
        </w:rPr>
      </w:pPr>
      <w:r>
        <w:rPr>
          <w:rFonts w:ascii="Times New Roman"/>
          <w:szCs w:val="21"/>
        </w:rPr>
        <w:t>报警指子站或主站利用声、光或图形化显示等手段发出告警信息。</w:t>
      </w:r>
    </w:p>
    <w:p>
      <w:pPr>
        <w:pStyle w:val="25"/>
        <w:rPr>
          <w:rFonts w:ascii="Times New Roman"/>
          <w:szCs w:val="21"/>
        </w:rPr>
      </w:pPr>
      <w:r>
        <w:rPr>
          <w:rFonts w:ascii="Times New Roman"/>
          <w:szCs w:val="21"/>
        </w:rPr>
        <w:t>隔离指由监测单元自身或监测单元控制其他设备切断电源以切断故障区段。</w:t>
      </w:r>
    </w:p>
    <w:p>
      <w:pPr>
        <w:pStyle w:val="25"/>
        <w:ind w:firstLine="0" w:firstLineChars="0"/>
        <w:rPr>
          <w:rFonts w:ascii="Times New Roman" w:eastAsia="黑体"/>
          <w:szCs w:val="21"/>
        </w:rPr>
      </w:pPr>
      <w:r>
        <w:rPr>
          <w:rFonts w:hint="eastAsia" w:ascii="Times New Roman" w:eastAsia="黑体"/>
          <w:szCs w:val="21"/>
        </w:rPr>
        <w:t>4</w:t>
      </w:r>
      <w:r>
        <w:rPr>
          <w:rFonts w:ascii="Times New Roman" w:eastAsia="黑体"/>
          <w:szCs w:val="21"/>
        </w:rPr>
        <w:t xml:space="preserve">.2 </w:t>
      </w:r>
      <w:r>
        <w:rPr>
          <w:rFonts w:hint="eastAsia" w:ascii="Times New Roman" w:eastAsia="黑体"/>
          <w:szCs w:val="21"/>
        </w:rPr>
        <w:t xml:space="preserve">适用范围 </w:t>
      </w:r>
    </w:p>
    <w:p>
      <w:pPr>
        <w:pStyle w:val="25"/>
        <w:rPr>
          <w:rFonts w:ascii="Times New Roman"/>
          <w:szCs w:val="21"/>
        </w:rPr>
      </w:pPr>
      <w:r>
        <w:rPr>
          <w:rFonts w:ascii="Times New Roman"/>
          <w:szCs w:val="21"/>
        </w:rPr>
        <w:t>适用于建筑低压交流电气的TN-S、TN-C-S、TT系统。</w:t>
      </w:r>
    </w:p>
    <w:p>
      <w:pPr>
        <w:pStyle w:val="25"/>
        <w:ind w:firstLine="0" w:firstLineChars="0"/>
        <w:rPr>
          <w:rFonts w:ascii="Times New Roman" w:eastAsia="黑体"/>
          <w:szCs w:val="21"/>
        </w:rPr>
      </w:pPr>
      <w:r>
        <w:rPr>
          <w:rFonts w:ascii="Times New Roman" w:eastAsia="黑体"/>
          <w:szCs w:val="21"/>
        </w:rPr>
        <w:t>4.3 通信要求</w:t>
      </w:r>
    </w:p>
    <w:p>
      <w:pPr>
        <w:pStyle w:val="25"/>
        <w:rPr>
          <w:rFonts w:ascii="Times New Roman"/>
          <w:color w:val="000000" w:themeColor="text1"/>
          <w14:textFill>
            <w14:solidFill>
              <w14:schemeClr w14:val="tx1"/>
            </w14:solidFill>
          </w14:textFill>
        </w:rPr>
      </w:pPr>
      <w:r>
        <w:rPr>
          <w:rFonts w:ascii="Times New Roman"/>
        </w:rPr>
        <w:t>监测单元、子站、主站间应具备通信功能，通信方式可使用有线或无线</w:t>
      </w:r>
      <w:r>
        <w:rPr>
          <w:rFonts w:hint="eastAsia" w:ascii="Times New Roman"/>
        </w:rPr>
        <w:t>，且满足通信网络安全监测要求。</w:t>
      </w:r>
    </w:p>
    <w:p>
      <w:pPr>
        <w:pStyle w:val="25"/>
        <w:ind w:firstLine="0" w:firstLineChars="0"/>
        <w:rPr>
          <w:rFonts w:ascii="Times New Roman" w:eastAsia="黑体"/>
          <w:szCs w:val="21"/>
        </w:rPr>
      </w:pPr>
      <w:r>
        <w:rPr>
          <w:rFonts w:ascii="Times New Roman" w:eastAsia="黑体"/>
          <w:szCs w:val="21"/>
        </w:rPr>
        <w:t>4.4 设计原则</w:t>
      </w:r>
    </w:p>
    <w:p>
      <w:pPr>
        <w:pStyle w:val="25"/>
        <w:rPr>
          <w:rFonts w:ascii="Times New Roman"/>
          <w:szCs w:val="21"/>
        </w:rPr>
      </w:pPr>
      <w:r>
        <w:rPr>
          <w:rFonts w:ascii="Times New Roman"/>
          <w:szCs w:val="21"/>
        </w:rPr>
        <w:t>4.4.1 系统应根据建筑使用性质、低压系统的配电形式、布线方式、接地</w:t>
      </w:r>
      <w:r>
        <w:rPr>
          <w:rFonts w:hint="eastAsia" w:ascii="Times New Roman"/>
          <w:szCs w:val="21"/>
        </w:rPr>
        <w:t>形式</w:t>
      </w:r>
      <w:r>
        <w:rPr>
          <w:rFonts w:ascii="Times New Roman"/>
          <w:szCs w:val="21"/>
        </w:rPr>
        <w:t>等因素，设置电气量监测单元、非电气量监测单元及监测参数。电气量和非电气量监测单元的布局设置应满足GB 50116要求。电气量监测参数</w:t>
      </w:r>
      <w:r>
        <w:rPr>
          <w:rFonts w:hint="eastAsia" w:ascii="Times New Roman"/>
          <w:szCs w:val="21"/>
        </w:rPr>
        <w:t>设置</w:t>
      </w:r>
      <w:r>
        <w:rPr>
          <w:rFonts w:ascii="Times New Roman"/>
          <w:szCs w:val="21"/>
        </w:rPr>
        <w:t>应满足GB 14287要求。电气</w:t>
      </w:r>
      <w:r>
        <w:rPr>
          <w:rFonts w:hint="eastAsia" w:ascii="Times New Roman"/>
          <w:szCs w:val="21"/>
        </w:rPr>
        <w:t>线路故障处置策略应结合</w:t>
      </w:r>
      <w:r>
        <w:rPr>
          <w:rFonts w:ascii="Times New Roman"/>
          <w:szCs w:val="21"/>
        </w:rPr>
        <w:t>GB 51348</w:t>
      </w:r>
      <w:r>
        <w:rPr>
          <w:rFonts w:hint="eastAsia" w:ascii="Times New Roman"/>
          <w:szCs w:val="21"/>
        </w:rPr>
        <w:t>和</w:t>
      </w:r>
      <w:r>
        <w:rPr>
          <w:rFonts w:ascii="Times New Roman"/>
          <w:szCs w:val="21"/>
        </w:rPr>
        <w:t>GB/T 31143</w:t>
      </w:r>
      <w:r>
        <w:rPr>
          <w:rFonts w:hint="eastAsia" w:ascii="Times New Roman"/>
          <w:szCs w:val="21"/>
        </w:rPr>
        <w:t>的要求制定</w:t>
      </w:r>
      <w:r>
        <w:rPr>
          <w:rFonts w:ascii="Times New Roman"/>
          <w:szCs w:val="21"/>
        </w:rPr>
        <w:t>。</w:t>
      </w:r>
    </w:p>
    <w:p>
      <w:pPr>
        <w:pStyle w:val="25"/>
        <w:rPr>
          <w:rFonts w:ascii="Times New Roman"/>
          <w:szCs w:val="21"/>
        </w:rPr>
      </w:pPr>
      <w:r>
        <w:rPr>
          <w:rFonts w:ascii="Times New Roman"/>
          <w:szCs w:val="21"/>
        </w:rPr>
        <w:t>4.4.2 电气量监测单元宜分布安装于干线断路器、各级分支线断路器处。</w:t>
      </w:r>
    </w:p>
    <w:p>
      <w:pPr>
        <w:pStyle w:val="25"/>
        <w:rPr>
          <w:rFonts w:ascii="Times New Roman"/>
          <w:szCs w:val="21"/>
        </w:rPr>
      </w:pPr>
      <w:bookmarkStart w:id="35" w:name="_GoBack"/>
      <w:bookmarkEnd w:id="35"/>
      <w:r>
        <w:rPr>
          <w:rFonts w:ascii="Times New Roman"/>
          <w:szCs w:val="21"/>
        </w:rPr>
        <w:t>4.4.3 非电气量监测单元宜根据对场所温度、光强、烟雾、</w:t>
      </w:r>
      <w:r>
        <w:rPr>
          <w:rFonts w:hint="eastAsia" w:ascii="Times New Roman"/>
          <w:szCs w:val="21"/>
        </w:rPr>
        <w:t>热解粒子</w:t>
      </w:r>
      <w:r>
        <w:rPr>
          <w:rFonts w:ascii="Times New Roman"/>
          <w:szCs w:val="21"/>
        </w:rPr>
        <w:t>等物理量的监测要求并综合考虑非电气量监测单元的通信和供电方式进行</w:t>
      </w:r>
      <w:r>
        <w:rPr>
          <w:rFonts w:hint="eastAsia" w:ascii="Times New Roman"/>
          <w:szCs w:val="21"/>
        </w:rPr>
        <w:t>布局</w:t>
      </w:r>
      <w:r>
        <w:rPr>
          <w:rFonts w:ascii="Times New Roman"/>
          <w:szCs w:val="21"/>
        </w:rPr>
        <w:t>设置。</w:t>
      </w:r>
    </w:p>
    <w:p>
      <w:pPr>
        <w:pStyle w:val="25"/>
        <w:rPr>
          <w:rFonts w:ascii="Times New Roman"/>
          <w:szCs w:val="21"/>
        </w:rPr>
      </w:pPr>
      <w:r>
        <w:rPr>
          <w:rFonts w:ascii="Times New Roman"/>
          <w:szCs w:val="21"/>
        </w:rPr>
        <w:t>4.4.4 建筑电气线路故障的监测</w:t>
      </w:r>
      <w:r>
        <w:rPr>
          <w:rFonts w:hint="eastAsia" w:ascii="Times New Roman"/>
          <w:szCs w:val="21"/>
        </w:rPr>
        <w:t>和</w:t>
      </w:r>
      <w:r>
        <w:rPr>
          <w:rFonts w:ascii="Times New Roman"/>
          <w:szCs w:val="21"/>
        </w:rPr>
        <w:t>处置宜接入建筑电力监控系统、用户单元管理中心等。</w:t>
      </w:r>
    </w:p>
    <w:p>
      <w:pPr>
        <w:pStyle w:val="25"/>
        <w:rPr>
          <w:rFonts w:ascii="Times New Roman"/>
          <w:szCs w:val="21"/>
        </w:rPr>
      </w:pPr>
      <w:r>
        <w:rPr>
          <w:rFonts w:ascii="Times New Roman"/>
          <w:szCs w:val="21"/>
        </w:rPr>
        <w:t xml:space="preserve">4.4.5 </w:t>
      </w:r>
      <w:r>
        <w:rPr>
          <w:rFonts w:hint="eastAsia" w:ascii="Times New Roman"/>
          <w:szCs w:val="21"/>
        </w:rPr>
        <w:t>系统</w:t>
      </w:r>
      <w:r>
        <w:rPr>
          <w:rFonts w:ascii="Times New Roman"/>
          <w:szCs w:val="21"/>
        </w:rPr>
        <w:t>中各种监测</w:t>
      </w:r>
      <w:r>
        <w:rPr>
          <w:rFonts w:hint="eastAsia" w:ascii="Times New Roman"/>
          <w:szCs w:val="21"/>
        </w:rPr>
        <w:t>单元</w:t>
      </w:r>
      <w:r>
        <w:rPr>
          <w:rFonts w:ascii="Times New Roman"/>
          <w:szCs w:val="21"/>
        </w:rPr>
        <w:t>的安装、使用不应影响已有配电线路的正常运行。</w:t>
      </w:r>
    </w:p>
    <w:p>
      <w:pPr>
        <w:pStyle w:val="3"/>
        <w:spacing w:before="312" w:beforeLines="100" w:after="312" w:afterLines="100" w:line="240" w:lineRule="auto"/>
        <w:rPr>
          <w:rFonts w:ascii="Times New Roman" w:hAnsi="Times New Roman" w:eastAsia="黑体" w:cs="Times New Roman"/>
          <w:b w:val="0"/>
          <w:bCs w:val="0"/>
          <w:sz w:val="21"/>
        </w:rPr>
      </w:pPr>
      <w:bookmarkStart w:id="24" w:name="_Toc160171431"/>
      <w:r>
        <w:rPr>
          <w:rFonts w:ascii="Times New Roman" w:hAnsi="Times New Roman" w:eastAsia="黑体" w:cs="Times New Roman"/>
          <w:b w:val="0"/>
          <w:bCs w:val="0"/>
          <w:sz w:val="21"/>
          <w:szCs w:val="21"/>
        </w:rPr>
        <w:t>5 系统设计</w:t>
      </w:r>
      <w:bookmarkEnd w:id="24"/>
    </w:p>
    <w:p>
      <w:pPr>
        <w:pStyle w:val="25"/>
        <w:ind w:firstLine="0" w:firstLineChars="0"/>
        <w:rPr>
          <w:rFonts w:ascii="Times New Roman" w:eastAsia="黑体"/>
        </w:rPr>
      </w:pPr>
      <w:r>
        <w:rPr>
          <w:rFonts w:ascii="Times New Roman" w:eastAsia="黑体"/>
        </w:rPr>
        <w:t>5.1 系统架构</w:t>
      </w:r>
    </w:p>
    <w:p>
      <w:pPr>
        <w:spacing w:line="390" w:lineRule="exact"/>
        <w:ind w:firstLine="420" w:firstLineChars="200"/>
        <w:rPr>
          <w:szCs w:val="21"/>
        </w:rPr>
      </w:pPr>
      <w:r>
        <w:rPr>
          <w:rFonts w:hint="eastAsia"/>
          <w:szCs w:val="21"/>
        </w:rPr>
        <w:t>系统整体架构宜采用工业物联网的“边”、“端”、“云”及通信网络架构体系，应满足</w:t>
      </w:r>
      <w:r>
        <w:rPr>
          <w:szCs w:val="21"/>
        </w:rPr>
        <w:t>GB/T 40287</w:t>
      </w:r>
      <w:r>
        <w:rPr>
          <w:rFonts w:hint="eastAsia"/>
          <w:szCs w:val="21"/>
        </w:rPr>
        <w:t>的要求。其中，</w:t>
      </w:r>
      <w:r>
        <w:rPr>
          <w:rFonts w:hint="eastAsia"/>
        </w:rPr>
        <w:t>云、边、端分别对应系统组成中的主站、子站和监测单元，通信网络用于为云、边、端之间提供通信链路，</w:t>
      </w:r>
      <w:r>
        <w:rPr>
          <w:rFonts w:hint="eastAsia"/>
          <w:szCs w:val="21"/>
        </w:rPr>
        <w:t>宜采用图</w:t>
      </w:r>
      <w:r>
        <w:rPr>
          <w:szCs w:val="21"/>
        </w:rPr>
        <w:t>1</w:t>
      </w:r>
      <w:r>
        <w:rPr>
          <w:rFonts w:hint="eastAsia"/>
          <w:szCs w:val="21"/>
        </w:rPr>
        <w:t>所示架构。</w:t>
      </w:r>
    </w:p>
    <w:p>
      <w:pPr>
        <w:pStyle w:val="25"/>
        <w:ind w:firstLine="0" w:firstLineChars="0"/>
        <w:jc w:val="center"/>
        <w:rPr>
          <w:rFonts w:ascii="Times New Roman"/>
        </w:rPr>
      </w:pPr>
      <w:r>
        <w:rPr>
          <w:rFonts w:ascii="Times New Roman"/>
        </w:rPr>
        <w:object>
          <v:shape id="_x0000_i1025" o:spt="75" type="#_x0000_t75" style="height:210pt;width:340.9pt;" o:ole="t" filled="f" o:preferrelative="t" stroked="f" coordsize="21600,21600">
            <v:path/>
            <v:fill on="f" focussize="0,0"/>
            <v:stroke on="f" joinstyle="miter"/>
            <v:imagedata r:id="rId8" o:title=""/>
            <o:lock v:ext="edit" aspectratio="t"/>
            <w10:wrap type="none"/>
            <w10:anchorlock/>
          </v:shape>
          <o:OLEObject Type="Embed" ProgID="Visio.Drawing.15" ShapeID="_x0000_i1025" DrawAspect="Content" ObjectID="_1468075725" r:id="rId7">
            <o:LockedField>false</o:LockedField>
          </o:OLEObject>
        </w:object>
      </w:r>
    </w:p>
    <w:p>
      <w:pPr>
        <w:pStyle w:val="25"/>
        <w:ind w:firstLine="0" w:firstLineChars="0"/>
        <w:jc w:val="center"/>
        <w:rPr>
          <w:rStyle w:val="40"/>
          <w:rFonts w:hAnsi="宋体"/>
        </w:rPr>
      </w:pPr>
      <w:r>
        <w:rPr>
          <w:rFonts w:hAnsi="宋体"/>
        </w:rPr>
        <w:t>图</w:t>
      </w:r>
      <w:r>
        <w:rPr>
          <w:rFonts w:ascii="Times New Roman"/>
        </w:rPr>
        <w:t>1</w:t>
      </w:r>
      <w:r>
        <w:rPr>
          <w:rFonts w:hAnsi="宋体"/>
        </w:rPr>
        <w:t xml:space="preserve"> 系统架构示意图</w:t>
      </w:r>
    </w:p>
    <w:p>
      <w:pPr>
        <w:pStyle w:val="25"/>
        <w:ind w:firstLine="0" w:firstLineChars="0"/>
        <w:rPr>
          <w:rFonts w:eastAsia="黑体"/>
        </w:rPr>
      </w:pPr>
      <w:r>
        <w:rPr>
          <w:rFonts w:ascii="Times New Roman" w:eastAsia="黑体"/>
        </w:rPr>
        <w:t xml:space="preserve">5.2 </w:t>
      </w:r>
      <w:r>
        <w:rPr>
          <w:rFonts w:eastAsia="黑体"/>
        </w:rPr>
        <w:t>监测单元</w:t>
      </w:r>
    </w:p>
    <w:p>
      <w:pPr>
        <w:pStyle w:val="25"/>
        <w:rPr>
          <w:rFonts w:ascii="Times New Roman"/>
          <w:szCs w:val="21"/>
        </w:rPr>
      </w:pPr>
      <w:r>
        <w:rPr>
          <w:rFonts w:ascii="Times New Roman"/>
          <w:szCs w:val="21"/>
        </w:rPr>
        <w:t>5.2.1</w:t>
      </w:r>
      <w:r>
        <w:rPr>
          <w:rFonts w:hint="eastAsia" w:ascii="Times New Roman"/>
          <w:szCs w:val="21"/>
        </w:rPr>
        <w:t xml:space="preserve"> 基本</w:t>
      </w:r>
      <w:r>
        <w:rPr>
          <w:rFonts w:ascii="Times New Roman"/>
          <w:szCs w:val="21"/>
        </w:rPr>
        <w:t>要求</w:t>
      </w:r>
    </w:p>
    <w:p>
      <w:pPr>
        <w:pStyle w:val="25"/>
        <w:ind w:firstLine="630" w:firstLineChars="300"/>
        <w:rPr>
          <w:rFonts w:ascii="Times New Roman"/>
          <w:szCs w:val="21"/>
        </w:rPr>
      </w:pPr>
      <w:r>
        <w:rPr>
          <w:rFonts w:ascii="Times New Roman"/>
          <w:szCs w:val="21"/>
        </w:rPr>
        <w:t>5.2.1.1 监测单元应能通过接收由子站或主站发出的时间同步信息进行时钟同步校正。</w:t>
      </w:r>
    </w:p>
    <w:p>
      <w:pPr>
        <w:pStyle w:val="25"/>
        <w:ind w:firstLine="630" w:firstLineChars="300"/>
        <w:rPr>
          <w:rFonts w:ascii="Times New Roman"/>
          <w:szCs w:val="21"/>
        </w:rPr>
      </w:pPr>
      <w:r>
        <w:rPr>
          <w:rFonts w:ascii="Times New Roman"/>
          <w:szCs w:val="21"/>
        </w:rPr>
        <w:t>5.2.1.2 监测单元具有与子站或主站之间的通信能力，宜包含监测单元之间的通信能力，通信方式宜具备有线和无线两种方式。</w:t>
      </w:r>
    </w:p>
    <w:p>
      <w:pPr>
        <w:pStyle w:val="25"/>
        <w:rPr>
          <w:rFonts w:ascii="Times New Roman"/>
          <w:szCs w:val="21"/>
        </w:rPr>
      </w:pPr>
      <w:r>
        <w:rPr>
          <w:rFonts w:ascii="Times New Roman"/>
          <w:szCs w:val="21"/>
        </w:rPr>
        <w:t>5.2.2 电气量监测</w:t>
      </w:r>
    </w:p>
    <w:p>
      <w:pPr>
        <w:pStyle w:val="25"/>
        <w:ind w:firstLine="630" w:firstLineChars="300"/>
        <w:rPr>
          <w:rFonts w:ascii="Times New Roman"/>
          <w:szCs w:val="21"/>
        </w:rPr>
      </w:pPr>
      <w:r>
        <w:rPr>
          <w:rFonts w:ascii="Times New Roman"/>
          <w:szCs w:val="21"/>
        </w:rPr>
        <w:t>5.2.2.1 电气量监测单元应具备电气故障信息采集、边缘计算、时间同步及通信功能，宜具备就地故障隔离功能。</w:t>
      </w:r>
    </w:p>
    <w:p>
      <w:pPr>
        <w:pStyle w:val="25"/>
        <w:ind w:firstLine="630" w:firstLineChars="300"/>
        <w:rPr>
          <w:rFonts w:ascii="Times New Roman"/>
          <w:szCs w:val="21"/>
        </w:rPr>
      </w:pPr>
      <w:r>
        <w:rPr>
          <w:rFonts w:ascii="Times New Roman"/>
          <w:szCs w:val="21"/>
        </w:rPr>
        <w:t>5.2.2.2 电气故障包含串联电弧、并联电弧、接地、中性线过流等故障。</w:t>
      </w:r>
    </w:p>
    <w:p>
      <w:pPr>
        <w:pStyle w:val="25"/>
        <w:ind w:firstLine="630" w:firstLineChars="300"/>
        <w:rPr>
          <w:rFonts w:ascii="Times New Roman"/>
          <w:szCs w:val="21"/>
        </w:rPr>
      </w:pPr>
      <w:r>
        <w:rPr>
          <w:rFonts w:ascii="Times New Roman"/>
          <w:szCs w:val="21"/>
        </w:rPr>
        <w:t>5.2.2.3 电气量监测单元宜具备线路取电和后备电源供电两种方式。</w:t>
      </w:r>
    </w:p>
    <w:p>
      <w:pPr>
        <w:pStyle w:val="25"/>
        <w:rPr>
          <w:rFonts w:ascii="Times New Roman"/>
          <w:szCs w:val="21"/>
        </w:rPr>
      </w:pPr>
      <w:r>
        <w:rPr>
          <w:rFonts w:ascii="Times New Roman"/>
          <w:szCs w:val="21"/>
        </w:rPr>
        <w:t>5.2.3 电气</w:t>
      </w:r>
      <w:r>
        <w:rPr>
          <w:rFonts w:hint="eastAsia" w:ascii="Times New Roman"/>
          <w:szCs w:val="21"/>
        </w:rPr>
        <w:t>故障隔离处置</w:t>
      </w:r>
    </w:p>
    <w:p>
      <w:pPr>
        <w:pStyle w:val="25"/>
        <w:rPr>
          <w:rFonts w:ascii="Times New Roman"/>
          <w:szCs w:val="21"/>
        </w:rPr>
      </w:pPr>
      <w:r>
        <w:rPr>
          <w:rFonts w:hint="eastAsia" w:ascii="Times New Roman"/>
          <w:szCs w:val="21"/>
        </w:rPr>
        <w:t>电气量</w:t>
      </w:r>
      <w:r>
        <w:rPr>
          <w:rFonts w:ascii="Times New Roman"/>
          <w:szCs w:val="21"/>
        </w:rPr>
        <w:t>监测单元</w:t>
      </w:r>
      <w:r>
        <w:rPr>
          <w:rFonts w:hint="eastAsia" w:ascii="Times New Roman"/>
          <w:szCs w:val="21"/>
        </w:rPr>
        <w:t>宜具备对采集故障信息分析计算，并通过</w:t>
      </w:r>
      <w:r>
        <w:rPr>
          <w:rFonts w:ascii="Times New Roman"/>
          <w:szCs w:val="21"/>
        </w:rPr>
        <w:t>自身或控制其他设备切断故障区段</w:t>
      </w:r>
      <w:r>
        <w:rPr>
          <w:rFonts w:hint="eastAsia" w:ascii="Times New Roman"/>
          <w:szCs w:val="21"/>
        </w:rPr>
        <w:t>的功能</w:t>
      </w:r>
      <w:r>
        <w:rPr>
          <w:rFonts w:ascii="Times New Roman"/>
          <w:szCs w:val="21"/>
        </w:rPr>
        <w:t>。</w:t>
      </w:r>
    </w:p>
    <w:p>
      <w:pPr>
        <w:pStyle w:val="25"/>
        <w:rPr>
          <w:rFonts w:ascii="Times New Roman"/>
          <w:szCs w:val="21"/>
        </w:rPr>
      </w:pPr>
      <w:r>
        <w:rPr>
          <w:rFonts w:ascii="Times New Roman"/>
          <w:szCs w:val="21"/>
        </w:rPr>
        <w:t>5.2.4 非电气量监测</w:t>
      </w:r>
    </w:p>
    <w:p>
      <w:pPr>
        <w:pStyle w:val="25"/>
        <w:rPr>
          <w:rFonts w:ascii="Times New Roman"/>
          <w:szCs w:val="21"/>
        </w:rPr>
      </w:pPr>
      <w:r>
        <w:rPr>
          <w:rFonts w:ascii="Times New Roman"/>
          <w:szCs w:val="21"/>
        </w:rPr>
        <w:t>非电气量监测单元</w:t>
      </w:r>
      <w:r>
        <w:rPr>
          <w:rFonts w:hint="eastAsia" w:ascii="Times New Roman"/>
          <w:szCs w:val="21"/>
        </w:rPr>
        <w:t>应</w:t>
      </w:r>
      <w:r>
        <w:rPr>
          <w:rFonts w:ascii="Times New Roman"/>
          <w:szCs w:val="21"/>
        </w:rPr>
        <w:t>具备场所温度、光强、烟雾、</w:t>
      </w:r>
      <w:r>
        <w:rPr>
          <w:rFonts w:hint="eastAsia" w:ascii="Times New Roman"/>
          <w:szCs w:val="21"/>
        </w:rPr>
        <w:t>热解粒子</w:t>
      </w:r>
      <w:r>
        <w:rPr>
          <w:rFonts w:ascii="Times New Roman"/>
          <w:szCs w:val="21"/>
        </w:rPr>
        <w:t>等物理量的采集</w:t>
      </w:r>
      <w:r>
        <w:rPr>
          <w:rFonts w:hint="eastAsia" w:ascii="Times New Roman"/>
          <w:szCs w:val="21"/>
        </w:rPr>
        <w:t>、</w:t>
      </w:r>
      <w:r>
        <w:rPr>
          <w:rFonts w:ascii="Times New Roman"/>
          <w:szCs w:val="21"/>
        </w:rPr>
        <w:t>报警</w:t>
      </w:r>
      <w:r>
        <w:rPr>
          <w:rFonts w:hint="eastAsia" w:ascii="Times New Roman"/>
          <w:szCs w:val="21"/>
        </w:rPr>
        <w:t>、时间同步及</w:t>
      </w:r>
      <w:r>
        <w:rPr>
          <w:rFonts w:ascii="Times New Roman"/>
          <w:szCs w:val="21"/>
        </w:rPr>
        <w:t>通信功能。</w:t>
      </w:r>
    </w:p>
    <w:p>
      <w:pPr>
        <w:pStyle w:val="25"/>
        <w:ind w:firstLine="0" w:firstLineChars="0"/>
        <w:rPr>
          <w:rFonts w:eastAsia="黑体"/>
        </w:rPr>
      </w:pPr>
      <w:r>
        <w:rPr>
          <w:rFonts w:ascii="Times New Roman" w:eastAsia="黑体"/>
        </w:rPr>
        <w:t xml:space="preserve">5.3 </w:t>
      </w:r>
      <w:r>
        <w:rPr>
          <w:rFonts w:eastAsia="黑体"/>
        </w:rPr>
        <w:t>子站与主站</w:t>
      </w:r>
      <w:bookmarkEnd w:id="23"/>
    </w:p>
    <w:p>
      <w:pPr>
        <w:pStyle w:val="25"/>
        <w:rPr>
          <w:rFonts w:ascii="Times New Roman"/>
          <w:szCs w:val="21"/>
        </w:rPr>
      </w:pPr>
      <w:r>
        <w:rPr>
          <w:rFonts w:ascii="Times New Roman"/>
          <w:szCs w:val="21"/>
        </w:rPr>
        <w:t>5.3.1 子站与主站的功能设置应满足DL/T 814的</w:t>
      </w:r>
      <w:r>
        <w:rPr>
          <w:rFonts w:hint="eastAsia" w:ascii="Times New Roman"/>
          <w:szCs w:val="21"/>
        </w:rPr>
        <w:t>相关</w:t>
      </w:r>
      <w:r>
        <w:rPr>
          <w:rFonts w:ascii="Times New Roman"/>
          <w:szCs w:val="21"/>
        </w:rPr>
        <w:t>要求。</w:t>
      </w:r>
    </w:p>
    <w:p>
      <w:pPr>
        <w:pStyle w:val="25"/>
        <w:rPr>
          <w:rFonts w:ascii="Times New Roman"/>
          <w:szCs w:val="21"/>
        </w:rPr>
      </w:pPr>
      <w:r>
        <w:rPr>
          <w:rFonts w:ascii="Times New Roman"/>
          <w:szCs w:val="21"/>
        </w:rPr>
        <w:t>5.3.2 子站应能实现对监测单元数据的采集，并具备与监测单元和主站之间的通信、信息储存及边缘计算功能。</w:t>
      </w:r>
    </w:p>
    <w:p>
      <w:pPr>
        <w:pStyle w:val="25"/>
        <w:rPr>
          <w:rFonts w:ascii="Times New Roman"/>
          <w:szCs w:val="21"/>
        </w:rPr>
      </w:pPr>
      <w:r>
        <w:rPr>
          <w:rFonts w:ascii="Times New Roman"/>
          <w:szCs w:val="21"/>
        </w:rPr>
        <w:t>5.3.3 可</w:t>
      </w:r>
      <w:r>
        <w:rPr>
          <w:rFonts w:hint="eastAsia" w:ascii="Times New Roman"/>
          <w:szCs w:val="21"/>
        </w:rPr>
        <w:t>采用配电自动化系统中的</w:t>
      </w:r>
      <w:r>
        <w:rPr>
          <w:rFonts w:ascii="Times New Roman"/>
          <w:szCs w:val="21"/>
        </w:rPr>
        <w:t>智能网关、集中器、智能融合终端等</w:t>
      </w:r>
      <w:r>
        <w:rPr>
          <w:rFonts w:hint="eastAsia" w:ascii="Times New Roman"/>
          <w:szCs w:val="21"/>
        </w:rPr>
        <w:t>作为</w:t>
      </w:r>
      <w:r>
        <w:rPr>
          <w:rFonts w:ascii="Times New Roman"/>
          <w:szCs w:val="21"/>
        </w:rPr>
        <w:t>子站。</w:t>
      </w:r>
    </w:p>
    <w:p>
      <w:pPr>
        <w:pStyle w:val="25"/>
        <w:rPr>
          <w:rFonts w:ascii="Times New Roman"/>
          <w:szCs w:val="21"/>
        </w:rPr>
      </w:pPr>
      <w:r>
        <w:rPr>
          <w:rFonts w:ascii="Times New Roman"/>
          <w:szCs w:val="21"/>
        </w:rPr>
        <w:t>5.3.4 子站</w:t>
      </w:r>
      <w:r>
        <w:rPr>
          <w:rFonts w:hint="eastAsia" w:ascii="Times New Roman"/>
          <w:szCs w:val="21"/>
        </w:rPr>
        <w:t>设置</w:t>
      </w:r>
      <w:r>
        <w:rPr>
          <w:rFonts w:ascii="Times New Roman"/>
          <w:szCs w:val="21"/>
        </w:rPr>
        <w:t>宜根据所监测建筑的布局、规模</w:t>
      </w:r>
      <w:r>
        <w:rPr>
          <w:rFonts w:hint="eastAsia" w:ascii="Times New Roman"/>
          <w:szCs w:val="21"/>
        </w:rPr>
        <w:t>等进行</w:t>
      </w:r>
      <w:r>
        <w:rPr>
          <w:rFonts w:ascii="Times New Roman"/>
          <w:szCs w:val="21"/>
        </w:rPr>
        <w:t>。</w:t>
      </w:r>
    </w:p>
    <w:p>
      <w:pPr>
        <w:pStyle w:val="25"/>
        <w:rPr>
          <w:rFonts w:ascii="Times New Roman"/>
          <w:szCs w:val="21"/>
        </w:rPr>
      </w:pPr>
      <w:r>
        <w:rPr>
          <w:rFonts w:ascii="Times New Roman"/>
          <w:szCs w:val="21"/>
        </w:rPr>
        <w:t>5.3.5 主站宜采用图形化显示界面显示监测单元的平面图、网络拓扑关系图、电气线路故障类型、电气线路故障发生时间、电气线路故障点所在线路区段</w:t>
      </w:r>
      <w:r>
        <w:rPr>
          <w:rFonts w:hint="eastAsia" w:ascii="Times New Roman"/>
          <w:szCs w:val="21"/>
        </w:rPr>
        <w:t>及故障就地隔离处置结果、</w:t>
      </w:r>
      <w:r>
        <w:rPr>
          <w:rFonts w:ascii="Times New Roman"/>
          <w:szCs w:val="21"/>
        </w:rPr>
        <w:t>非电量监测单元对温度或</w:t>
      </w:r>
      <w:r>
        <w:rPr>
          <w:rFonts w:hint="eastAsia" w:ascii="Times New Roman"/>
          <w:szCs w:val="21"/>
        </w:rPr>
        <w:t>热解粒子</w:t>
      </w:r>
      <w:r>
        <w:rPr>
          <w:rFonts w:ascii="Times New Roman"/>
          <w:szCs w:val="21"/>
        </w:rPr>
        <w:t>的指示、非电量监测单元对温度或</w:t>
      </w:r>
      <w:r>
        <w:rPr>
          <w:rFonts w:hint="eastAsia" w:ascii="Times New Roman"/>
          <w:szCs w:val="21"/>
        </w:rPr>
        <w:t>热解粒子</w:t>
      </w:r>
      <w:r>
        <w:rPr>
          <w:rFonts w:ascii="Times New Roman"/>
          <w:szCs w:val="21"/>
        </w:rPr>
        <w:t>的探测时间、对电气火灾原因的辅助分析等。</w:t>
      </w:r>
    </w:p>
    <w:p>
      <w:pPr>
        <w:pStyle w:val="3"/>
        <w:spacing w:before="312" w:beforeLines="100" w:after="312" w:afterLines="100" w:line="240" w:lineRule="auto"/>
        <w:rPr>
          <w:rFonts w:ascii="Times New Roman" w:hAnsi="Times New Roman" w:eastAsia="黑体" w:cs="Times New Roman"/>
          <w:b w:val="0"/>
          <w:bCs w:val="0"/>
          <w:sz w:val="21"/>
          <w:szCs w:val="21"/>
        </w:rPr>
      </w:pPr>
      <w:bookmarkStart w:id="25" w:name="_Toc145491376"/>
      <w:bookmarkStart w:id="26" w:name="_Toc160171432"/>
      <w:r>
        <w:rPr>
          <w:rFonts w:ascii="Times New Roman" w:hAnsi="Times New Roman" w:eastAsia="黑体" w:cs="Times New Roman"/>
          <w:b w:val="0"/>
          <w:bCs w:val="0"/>
          <w:sz w:val="21"/>
          <w:szCs w:val="21"/>
        </w:rPr>
        <w:t>6 故障监测</w:t>
      </w:r>
      <w:bookmarkEnd w:id="25"/>
      <w:bookmarkEnd w:id="26"/>
    </w:p>
    <w:p>
      <w:pPr>
        <w:pStyle w:val="25"/>
        <w:ind w:firstLine="0" w:firstLineChars="0"/>
        <w:rPr>
          <w:rFonts w:ascii="Times New Roman"/>
          <w:szCs w:val="21"/>
        </w:rPr>
      </w:pPr>
      <w:r>
        <w:rPr>
          <w:rFonts w:ascii="Times New Roman"/>
          <w:szCs w:val="21"/>
        </w:rPr>
        <w:t xml:space="preserve">6.1 </w:t>
      </w:r>
      <w:r>
        <w:rPr>
          <w:rFonts w:hint="eastAsia" w:ascii="Times New Roman"/>
          <w:szCs w:val="21"/>
        </w:rPr>
        <w:t>宜</w:t>
      </w:r>
      <w:r>
        <w:rPr>
          <w:rFonts w:ascii="Times New Roman"/>
          <w:szCs w:val="21"/>
        </w:rPr>
        <w:t>具备对串联电弧、并联电弧、接地、中性线过流等易致火电气故障的在线监测功能。</w:t>
      </w:r>
      <w:r>
        <w:rPr>
          <w:rFonts w:hint="eastAsia" w:ascii="Times New Roman"/>
          <w:szCs w:val="21"/>
        </w:rPr>
        <w:t>末端线路的</w:t>
      </w:r>
      <w:r>
        <w:rPr>
          <w:rFonts w:ascii="Times New Roman"/>
          <w:szCs w:val="21"/>
        </w:rPr>
        <w:t>串联、并联电弧类故障检测准确率要满足GB/T 14287相关要求</w:t>
      </w:r>
      <w:r>
        <w:rPr>
          <w:rFonts w:hint="eastAsia" w:ascii="Times New Roman"/>
          <w:szCs w:val="21"/>
        </w:rPr>
        <w:t>，</w:t>
      </w:r>
      <w:r>
        <w:rPr>
          <w:rFonts w:ascii="Times New Roman"/>
          <w:szCs w:val="21"/>
        </w:rPr>
        <w:t>接地故障检测准确率要满足GB/T 14048.2相关要求；</w:t>
      </w:r>
      <w:r>
        <w:rPr>
          <w:rFonts w:hint="eastAsia" w:ascii="Times New Roman"/>
          <w:szCs w:val="21"/>
        </w:rPr>
        <w:t>干线</w:t>
      </w:r>
      <w:r>
        <w:rPr>
          <w:rFonts w:ascii="Times New Roman"/>
          <w:szCs w:val="21"/>
        </w:rPr>
        <w:t>中性线过流检测要满足GB 16895.5的相关要求。</w:t>
      </w:r>
    </w:p>
    <w:p>
      <w:pPr>
        <w:pStyle w:val="25"/>
        <w:ind w:firstLine="0" w:firstLineChars="0"/>
        <w:rPr>
          <w:rFonts w:ascii="Times New Roman"/>
          <w:szCs w:val="21"/>
        </w:rPr>
      </w:pPr>
      <w:r>
        <w:rPr>
          <w:rFonts w:ascii="Times New Roman"/>
          <w:szCs w:val="21"/>
        </w:rPr>
        <w:t xml:space="preserve">6.2 </w:t>
      </w:r>
      <w:r>
        <w:rPr>
          <w:rFonts w:ascii="Times New Roman"/>
          <w:szCs w:val="16"/>
        </w:rPr>
        <w:t>系统中各监测单元</w:t>
      </w:r>
      <w:r>
        <w:rPr>
          <w:rFonts w:hint="eastAsia" w:ascii="Times New Roman"/>
          <w:szCs w:val="16"/>
        </w:rPr>
        <w:t>应实现时间同步。</w:t>
      </w:r>
    </w:p>
    <w:p>
      <w:pPr>
        <w:pStyle w:val="25"/>
        <w:ind w:firstLine="0" w:firstLineChars="0"/>
        <w:rPr>
          <w:rFonts w:ascii="Times New Roman"/>
          <w:szCs w:val="21"/>
        </w:rPr>
      </w:pPr>
      <w:r>
        <w:rPr>
          <w:rFonts w:ascii="Times New Roman"/>
          <w:szCs w:val="21"/>
        </w:rPr>
        <w:t>6.3 电气量监测单元</w:t>
      </w:r>
      <w:r>
        <w:rPr>
          <w:rFonts w:hint="eastAsia" w:ascii="Times New Roman"/>
          <w:szCs w:val="21"/>
        </w:rPr>
        <w:t>通过</w:t>
      </w:r>
      <w:r>
        <w:rPr>
          <w:rFonts w:ascii="Times New Roman"/>
          <w:szCs w:val="21"/>
        </w:rPr>
        <w:t>电压、电流、剩余电流等电气量检测到</w:t>
      </w:r>
      <w:r>
        <w:rPr>
          <w:rFonts w:hint="eastAsia" w:ascii="Times New Roman"/>
          <w:szCs w:val="21"/>
        </w:rPr>
        <w:t>串联电弧、并联电弧、接地、中性线过流</w:t>
      </w:r>
      <w:r>
        <w:rPr>
          <w:rFonts w:ascii="Times New Roman"/>
          <w:szCs w:val="21"/>
        </w:rPr>
        <w:t>等电气故障时，电气量监测单元应向子站或主站发送其身份及故障类型信息。</w:t>
      </w:r>
    </w:p>
    <w:p>
      <w:pPr>
        <w:pStyle w:val="25"/>
        <w:ind w:firstLine="0" w:firstLineChars="0"/>
        <w:rPr>
          <w:rFonts w:ascii="Times New Roman"/>
          <w:szCs w:val="21"/>
        </w:rPr>
      </w:pPr>
      <w:r>
        <w:rPr>
          <w:rFonts w:ascii="Times New Roman"/>
          <w:szCs w:val="21"/>
        </w:rPr>
        <w:t>6.4 非电气量监测单元检测到场所温度、光强、烟雾、</w:t>
      </w:r>
      <w:r>
        <w:rPr>
          <w:rFonts w:hint="eastAsia" w:ascii="Times New Roman"/>
          <w:szCs w:val="21"/>
        </w:rPr>
        <w:t>热解粒子</w:t>
      </w:r>
      <w:r>
        <w:rPr>
          <w:rFonts w:ascii="Times New Roman"/>
          <w:szCs w:val="21"/>
        </w:rPr>
        <w:t>等异常时，应</w:t>
      </w:r>
      <w:bookmarkStart w:id="27" w:name="OLE_LINK9"/>
      <w:r>
        <w:rPr>
          <w:rFonts w:ascii="Times New Roman"/>
          <w:szCs w:val="21"/>
        </w:rPr>
        <w:t>向子站或主站发送</w:t>
      </w:r>
      <w:bookmarkEnd w:id="27"/>
      <w:bookmarkStart w:id="28" w:name="OLE_LINK21"/>
      <w:r>
        <w:rPr>
          <w:rFonts w:ascii="Times New Roman"/>
          <w:szCs w:val="21"/>
        </w:rPr>
        <w:t>其身份及异常信息</w:t>
      </w:r>
      <w:bookmarkEnd w:id="28"/>
      <w:r>
        <w:rPr>
          <w:rFonts w:ascii="Times New Roman"/>
          <w:szCs w:val="21"/>
        </w:rPr>
        <w:t>。</w:t>
      </w:r>
    </w:p>
    <w:p>
      <w:pPr>
        <w:pStyle w:val="3"/>
        <w:spacing w:before="312" w:beforeLines="100" w:after="312" w:afterLines="100" w:line="240" w:lineRule="auto"/>
        <w:rPr>
          <w:rFonts w:ascii="Times New Roman" w:hAnsi="Times New Roman" w:eastAsia="黑体" w:cs="Times New Roman"/>
          <w:b w:val="0"/>
          <w:bCs w:val="0"/>
          <w:sz w:val="21"/>
          <w:szCs w:val="21"/>
        </w:rPr>
      </w:pPr>
      <w:bookmarkStart w:id="29" w:name="_Toc160171433"/>
      <w:bookmarkStart w:id="30" w:name="_Toc145491378"/>
      <w:bookmarkStart w:id="31" w:name="_Toc139965121"/>
      <w:r>
        <w:rPr>
          <w:rFonts w:ascii="Times New Roman" w:hAnsi="Times New Roman" w:eastAsia="黑体" w:cs="Times New Roman"/>
          <w:b w:val="0"/>
          <w:bCs w:val="0"/>
          <w:sz w:val="21"/>
          <w:szCs w:val="21"/>
        </w:rPr>
        <w:t>7 故障处置</w:t>
      </w:r>
      <w:bookmarkEnd w:id="29"/>
      <w:bookmarkEnd w:id="30"/>
      <w:bookmarkEnd w:id="31"/>
    </w:p>
    <w:p>
      <w:pPr>
        <w:pStyle w:val="25"/>
        <w:ind w:firstLine="0" w:firstLineChars="0"/>
        <w:rPr>
          <w:rFonts w:ascii="Times New Roman"/>
          <w:szCs w:val="21"/>
        </w:rPr>
      </w:pPr>
      <w:r>
        <w:rPr>
          <w:rFonts w:ascii="Times New Roman"/>
          <w:szCs w:val="21"/>
        </w:rPr>
        <w:t>7.1</w:t>
      </w:r>
      <w:r>
        <w:rPr>
          <w:rFonts w:hint="eastAsia" w:ascii="Times New Roman"/>
          <w:szCs w:val="21"/>
        </w:rPr>
        <w:t xml:space="preserve"> 子站或主站</w:t>
      </w:r>
      <w:r>
        <w:rPr>
          <w:rFonts w:ascii="Times New Roman"/>
          <w:szCs w:val="21"/>
        </w:rPr>
        <w:t>应具备对串联电弧、并联电弧、接地及中性线过流等线路故障的故障线路区段定位功能。</w:t>
      </w:r>
    </w:p>
    <w:p>
      <w:pPr>
        <w:pStyle w:val="25"/>
        <w:ind w:firstLine="0" w:firstLineChars="0"/>
        <w:rPr>
          <w:rFonts w:ascii="Times New Roman"/>
          <w:szCs w:val="21"/>
        </w:rPr>
      </w:pPr>
      <w:r>
        <w:rPr>
          <w:rFonts w:ascii="Times New Roman"/>
          <w:szCs w:val="21"/>
        </w:rPr>
        <w:t>7.2 当串联电弧、并联电弧的故障电流在GB/T 14287规定电流范围内时，串联电弧、并联电弧故障的处置应满足</w:t>
      </w:r>
      <w:r>
        <w:rPr>
          <w:rFonts w:hint="eastAsia" w:ascii="Times New Roman"/>
          <w:szCs w:val="21"/>
        </w:rPr>
        <w:t>GB</w:t>
      </w:r>
      <w:r>
        <w:rPr>
          <w:rFonts w:ascii="Times New Roman"/>
          <w:szCs w:val="21"/>
        </w:rPr>
        <w:t xml:space="preserve"> 51348</w:t>
      </w:r>
      <w:r>
        <w:rPr>
          <w:rFonts w:hint="eastAsia" w:ascii="Times New Roman"/>
          <w:szCs w:val="21"/>
        </w:rPr>
        <w:t>和</w:t>
      </w:r>
      <w:r>
        <w:rPr>
          <w:rFonts w:ascii="Times New Roman"/>
          <w:szCs w:val="21"/>
        </w:rPr>
        <w:t>GB/T 31143</w:t>
      </w:r>
      <w:r>
        <w:rPr>
          <w:rFonts w:hint="eastAsia" w:ascii="Times New Roman"/>
          <w:szCs w:val="21"/>
        </w:rPr>
        <w:t>的</w:t>
      </w:r>
      <w:r>
        <w:rPr>
          <w:rFonts w:ascii="Times New Roman"/>
          <w:szCs w:val="21"/>
        </w:rPr>
        <w:t>要求</w:t>
      </w:r>
      <w:r>
        <w:rPr>
          <w:rFonts w:hint="eastAsia" w:ascii="Times New Roman"/>
          <w:szCs w:val="21"/>
        </w:rPr>
        <w:t>。</w:t>
      </w:r>
    </w:p>
    <w:p>
      <w:pPr>
        <w:pStyle w:val="25"/>
        <w:ind w:firstLine="0" w:firstLineChars="0"/>
        <w:rPr>
          <w:rFonts w:ascii="Times New Roman"/>
          <w:szCs w:val="21"/>
        </w:rPr>
      </w:pPr>
      <w:r>
        <w:rPr>
          <w:rFonts w:ascii="Times New Roman"/>
          <w:szCs w:val="21"/>
        </w:rPr>
        <w:t>7.3 对接地故障，电气量监测单元宜能对故障实现就地隔离</w:t>
      </w:r>
      <w:r>
        <w:rPr>
          <w:rFonts w:hint="eastAsia" w:ascii="Times New Roman"/>
          <w:szCs w:val="21"/>
        </w:rPr>
        <w:t>，</w:t>
      </w:r>
      <w:r>
        <w:rPr>
          <w:rFonts w:ascii="Times New Roman"/>
          <w:szCs w:val="21"/>
        </w:rPr>
        <w:t>应满足</w:t>
      </w:r>
      <w:r>
        <w:rPr>
          <w:rFonts w:hint="eastAsia" w:ascii="Times New Roman"/>
          <w:szCs w:val="21"/>
        </w:rPr>
        <w:t>GB</w:t>
      </w:r>
      <w:r>
        <w:rPr>
          <w:rFonts w:ascii="Times New Roman"/>
          <w:szCs w:val="21"/>
        </w:rPr>
        <w:t xml:space="preserve"> 51348</w:t>
      </w:r>
      <w:r>
        <w:rPr>
          <w:rFonts w:hint="eastAsia" w:ascii="Times New Roman"/>
          <w:szCs w:val="21"/>
        </w:rPr>
        <w:t>和</w:t>
      </w:r>
      <w:r>
        <w:rPr>
          <w:rFonts w:ascii="Times New Roman"/>
          <w:szCs w:val="21"/>
        </w:rPr>
        <w:t>GB/T 31143相关要求。</w:t>
      </w:r>
    </w:p>
    <w:p>
      <w:pPr>
        <w:pStyle w:val="3"/>
        <w:spacing w:before="312" w:beforeLines="100" w:after="312" w:afterLines="100" w:line="240" w:lineRule="auto"/>
        <w:rPr>
          <w:rFonts w:ascii="Times New Roman" w:hAnsi="Times New Roman" w:eastAsia="黑体" w:cs="Times New Roman"/>
          <w:b w:val="0"/>
          <w:bCs w:val="0"/>
          <w:sz w:val="21"/>
          <w:szCs w:val="21"/>
        </w:rPr>
      </w:pPr>
      <w:bookmarkStart w:id="32" w:name="_Toc139965123"/>
      <w:bookmarkStart w:id="33" w:name="_Toc160171434"/>
      <w:bookmarkStart w:id="34" w:name="_Toc145491379"/>
      <w:r>
        <w:rPr>
          <w:rFonts w:ascii="Times New Roman" w:hAnsi="Times New Roman" w:eastAsia="黑体" w:cs="Times New Roman"/>
          <w:b w:val="0"/>
          <w:bCs w:val="0"/>
          <w:sz w:val="21"/>
          <w:szCs w:val="21"/>
        </w:rPr>
        <w:t>8 电气火灾分析</w:t>
      </w:r>
      <w:bookmarkEnd w:id="32"/>
      <w:bookmarkEnd w:id="33"/>
      <w:bookmarkEnd w:id="34"/>
    </w:p>
    <w:p>
      <w:pPr>
        <w:pStyle w:val="25"/>
        <w:ind w:firstLine="0" w:firstLineChars="0"/>
        <w:rPr>
          <w:rFonts w:ascii="Times New Roman"/>
          <w:szCs w:val="21"/>
        </w:rPr>
      </w:pPr>
      <w:r>
        <w:rPr>
          <w:rFonts w:hint="eastAsia" w:ascii="Times New Roman"/>
          <w:szCs w:val="21"/>
        </w:rPr>
        <w:t>8</w:t>
      </w:r>
      <w:r>
        <w:rPr>
          <w:rFonts w:ascii="Times New Roman"/>
          <w:szCs w:val="21"/>
        </w:rPr>
        <w:t>.1 电气火灾分析应根据电气故障</w:t>
      </w:r>
      <w:r>
        <w:rPr>
          <w:rFonts w:hint="eastAsia" w:ascii="Times New Roman"/>
          <w:szCs w:val="21"/>
        </w:rPr>
        <w:t>发生</w:t>
      </w:r>
      <w:r>
        <w:rPr>
          <w:rFonts w:ascii="Times New Roman"/>
          <w:szCs w:val="21"/>
        </w:rPr>
        <w:t>、故障点位置</w:t>
      </w:r>
      <w:r>
        <w:rPr>
          <w:rFonts w:hint="eastAsia" w:ascii="Times New Roman"/>
          <w:szCs w:val="21"/>
        </w:rPr>
        <w:t>、故障保护器输出，</w:t>
      </w:r>
      <w:r>
        <w:rPr>
          <w:rFonts w:ascii="Times New Roman"/>
          <w:szCs w:val="21"/>
        </w:rPr>
        <w:t>以及电气故障与烟雾、</w:t>
      </w:r>
      <w:r>
        <w:rPr>
          <w:rFonts w:hint="eastAsia" w:ascii="Times New Roman"/>
          <w:szCs w:val="21"/>
        </w:rPr>
        <w:t>热解粒子</w:t>
      </w:r>
      <w:r>
        <w:rPr>
          <w:rFonts w:ascii="Times New Roman"/>
          <w:szCs w:val="21"/>
        </w:rPr>
        <w:t>异常探测时间等信息进行综合分析</w:t>
      </w:r>
      <w:r>
        <w:rPr>
          <w:rFonts w:hint="eastAsia" w:ascii="Times New Roman"/>
          <w:szCs w:val="21"/>
        </w:rPr>
        <w:t>。</w:t>
      </w:r>
    </w:p>
    <w:p>
      <w:pPr>
        <w:pStyle w:val="25"/>
        <w:ind w:firstLine="0" w:firstLineChars="0"/>
        <w:rPr>
          <w:rFonts w:hint="eastAsia" w:ascii="Times New Roman"/>
          <w:szCs w:val="21"/>
        </w:rPr>
      </w:pPr>
      <w:r>
        <w:rPr>
          <w:rFonts w:hint="eastAsia" w:ascii="Times New Roman"/>
          <w:szCs w:val="21"/>
        </w:rPr>
        <w:t>8</w:t>
      </w:r>
      <w:r>
        <w:rPr>
          <w:rFonts w:ascii="Times New Roman"/>
          <w:szCs w:val="21"/>
        </w:rPr>
        <w:t>.2 电气火灾</w:t>
      </w:r>
      <w:r>
        <w:rPr>
          <w:rFonts w:hint="eastAsia" w:ascii="Times New Roman"/>
          <w:szCs w:val="21"/>
        </w:rPr>
        <w:t>分析结果可</w:t>
      </w:r>
      <w:r>
        <w:rPr>
          <w:rFonts w:ascii="Times New Roman"/>
          <w:szCs w:val="21"/>
        </w:rPr>
        <w:t>辅助电气线路的火灾原因辨识。</w:t>
      </w:r>
    </w:p>
    <w:sectPr>
      <w:footerReference r:id="rId5" w:type="default"/>
      <w:pgSz w:w="11906" w:h="16838"/>
      <w:pgMar w:top="567" w:right="1134" w:bottom="1134" w:left="1418" w:header="1418" w:footer="1134" w:gutter="0"/>
      <w:pgNumType w:start="1"/>
      <w:cols w:space="720" w:num="1"/>
      <w:formProt w:val="0"/>
      <w:docGrid w:type="lines" w:linePitch="312" w:charSpace="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pPr>
    <w:r>
      <w:fldChar w:fldCharType="begin"/>
    </w:r>
    <w:r>
      <w:instrText xml:space="preserve"> PAGE  \* MERGEFORMAT </w:instrText>
    </w:r>
    <w:r>
      <w:fldChar w:fldCharType="separate"/>
    </w:r>
    <w:r>
      <w:t>II</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pPr>
    <w:r>
      <w:fldChar w:fldCharType="begin"/>
    </w:r>
    <w:r>
      <w:instrText xml:space="preserve"> PAGE  \* MERGEFORMAT </w:instrText>
    </w:r>
    <w:r>
      <w:fldChar w:fldCharType="separate"/>
    </w:r>
    <w:r>
      <w:t>4</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0"/>
    </w:pPr>
    <w:r>
      <w:rPr>
        <w:rFonts w:ascii="仿宋" w:hAnsi="仿宋" w:eastAsia="仿宋" w:cs="宋体"/>
        <w:sz w:val="28"/>
        <w:szCs w:val="28"/>
      </w:rPr>
      <w:t>T/ C</w:t>
    </w:r>
    <w:r>
      <w:rPr>
        <w:rFonts w:hint="eastAsia" w:ascii="仿宋" w:hAnsi="仿宋" w:eastAsia="仿宋" w:cs="宋体"/>
        <w:sz w:val="28"/>
        <w:szCs w:val="28"/>
      </w:rPr>
      <w:t>FPA</w:t>
    </w:r>
    <w:r>
      <w:rPr>
        <w:rFonts w:ascii="仿宋" w:hAnsi="仿宋" w:eastAsia="仿宋" w:cs="宋体"/>
        <w:sz w:val="28"/>
        <w:szCs w:val="28"/>
      </w:rPr>
      <w:t>–XXX</w:t>
    </w:r>
    <w:r>
      <w:rPr>
        <w:rFonts w:hint="eastAsia" w:ascii="仿宋" w:hAnsi="仿宋" w:eastAsia="仿宋" w:cs="仿宋"/>
        <w:sz w:val="28"/>
        <w:szCs w:val="28"/>
      </w:rPr>
      <w:t>-</w:t>
    </w:r>
    <w:r>
      <w:t xml:space="preserve"> </w:t>
    </w:r>
    <w:r>
      <w:rPr>
        <w:rFonts w:ascii="仿宋" w:hAnsi="仿宋" w:eastAsia="仿宋" w:cs="仿宋"/>
        <w:sz w:val="28"/>
        <w:szCs w:val="28"/>
      </w:rPr>
      <w:t>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9102AD"/>
    <w:multiLevelType w:val="multilevel"/>
    <w:tmpl w:val="079102AD"/>
    <w:lvl w:ilvl="0" w:tentative="0">
      <w:start w:val="1"/>
      <w:numFmt w:val="decimal"/>
      <w:pStyle w:val="64"/>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
    <w:nsid w:val="093C6778"/>
    <w:multiLevelType w:val="multilevel"/>
    <w:tmpl w:val="093C6778"/>
    <w:lvl w:ilvl="0" w:tentative="0">
      <w:start w:val="1"/>
      <w:numFmt w:val="decimal"/>
      <w:pStyle w:val="122"/>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0AE367E9"/>
    <w:multiLevelType w:val="multilevel"/>
    <w:tmpl w:val="0AE367E9"/>
    <w:lvl w:ilvl="0" w:tentative="0">
      <w:start w:val="1"/>
      <w:numFmt w:val="none"/>
      <w:pStyle w:val="58"/>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3">
    <w:nsid w:val="0D983844"/>
    <w:multiLevelType w:val="multilevel"/>
    <w:tmpl w:val="0D983844"/>
    <w:lvl w:ilvl="0" w:tentative="0">
      <w:start w:val="1"/>
      <w:numFmt w:val="decimal"/>
      <w:pStyle w:val="134"/>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4">
    <w:nsid w:val="0DDE2B46"/>
    <w:multiLevelType w:val="multilevel"/>
    <w:tmpl w:val="0DDE2B46"/>
    <w:lvl w:ilvl="0" w:tentative="0">
      <w:start w:val="1"/>
      <w:numFmt w:val="lowerLetter"/>
      <w:pStyle w:val="127"/>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5">
    <w:nsid w:val="1DBF583A"/>
    <w:multiLevelType w:val="multilevel"/>
    <w:tmpl w:val="1DBF583A"/>
    <w:lvl w:ilvl="0" w:tentative="0">
      <w:start w:val="1"/>
      <w:numFmt w:val="decimal"/>
      <w:pStyle w:val="71"/>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6">
    <w:nsid w:val="1FC91163"/>
    <w:multiLevelType w:val="multilevel"/>
    <w:tmpl w:val="1FC91163"/>
    <w:lvl w:ilvl="0" w:tentative="0">
      <w:start w:val="1"/>
      <w:numFmt w:val="decimal"/>
      <w:pStyle w:val="51"/>
      <w:suff w:val="nothing"/>
      <w:lvlText w:val="%1　"/>
      <w:lvlJc w:val="left"/>
      <w:pPr>
        <w:ind w:left="1417" w:firstLine="0"/>
      </w:pPr>
      <w:rPr>
        <w:rFonts w:hint="eastAsia" w:ascii="黑体" w:hAnsi="Times New Roman" w:eastAsia="黑体"/>
        <w:b w:val="0"/>
        <w:i w:val="0"/>
        <w:sz w:val="24"/>
        <w:szCs w:val="21"/>
      </w:rPr>
    </w:lvl>
    <w:lvl w:ilvl="1" w:tentative="0">
      <w:start w:val="1"/>
      <w:numFmt w:val="decimal"/>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14:shadow w14:blurRad="0" w14:dist="0" w14:dir="0" w14:sx="0" w14:sy="0" w14:kx="0" w14:ky="0" w14:algn="none">
          <w14:srgbClr w14:val="000000"/>
        </w14:shadow>
      </w:rPr>
    </w:lvl>
    <w:lvl w:ilvl="2" w:tentative="0">
      <w:start w:val="1"/>
      <w:numFmt w:val="decimal"/>
      <w:pStyle w:val="52"/>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pStyle w:val="61"/>
      <w:suff w:val="nothing"/>
      <w:lvlText w:val="%1.%2.%3.%4.%5　"/>
      <w:lvlJc w:val="left"/>
      <w:pPr>
        <w:ind w:left="0" w:firstLine="0"/>
      </w:pPr>
      <w:rPr>
        <w:rFonts w:hint="eastAsia" w:ascii="黑体" w:hAnsi="Times New Roman" w:eastAsia="黑体"/>
        <w:b w:val="0"/>
        <w:i w:val="0"/>
        <w:sz w:val="21"/>
      </w:rPr>
    </w:lvl>
    <w:lvl w:ilvl="5" w:tentative="0">
      <w:start w:val="1"/>
      <w:numFmt w:val="decimal"/>
      <w:pStyle w:val="62"/>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7">
    <w:nsid w:val="22827D5B"/>
    <w:multiLevelType w:val="multilevel"/>
    <w:tmpl w:val="22827D5B"/>
    <w:lvl w:ilvl="0" w:tentative="0">
      <w:start w:val="1"/>
      <w:numFmt w:val="none"/>
      <w:pStyle w:val="70"/>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8">
    <w:nsid w:val="240341FF"/>
    <w:multiLevelType w:val="multilevel"/>
    <w:tmpl w:val="240341FF"/>
    <w:lvl w:ilvl="0" w:tentative="0">
      <w:start w:val="1"/>
      <w:numFmt w:val="lowerLetter"/>
      <w:pStyle w:val="65"/>
      <w:lvlText w:val="%1)"/>
      <w:lvlJc w:val="left"/>
      <w:pPr>
        <w:tabs>
          <w:tab w:val="left" w:pos="840"/>
        </w:tabs>
        <w:ind w:left="839" w:hanging="419"/>
      </w:pPr>
      <w:rPr>
        <w:rFonts w:hint="eastAsia" w:ascii="宋体" w:eastAsia="宋体"/>
        <w:b w:val="0"/>
        <w:i w:val="0"/>
        <w:sz w:val="21"/>
        <w:szCs w:val="21"/>
      </w:rPr>
    </w:lvl>
    <w:lvl w:ilvl="1" w:tentative="0">
      <w:start w:val="1"/>
      <w:numFmt w:val="decimal"/>
      <w:pStyle w:val="60"/>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9">
    <w:nsid w:val="2A8F7113"/>
    <w:multiLevelType w:val="multilevel"/>
    <w:tmpl w:val="2A8F7113"/>
    <w:lvl w:ilvl="0" w:tentative="0">
      <w:start w:val="1"/>
      <w:numFmt w:val="upperLetter"/>
      <w:pStyle w:val="104"/>
      <w:suff w:val="space"/>
      <w:lvlText w:val="%1"/>
      <w:lvlJc w:val="left"/>
      <w:pPr>
        <w:ind w:left="623" w:hanging="425"/>
      </w:pPr>
      <w:rPr>
        <w:rFonts w:hint="eastAsia"/>
      </w:rPr>
    </w:lvl>
    <w:lvl w:ilvl="1" w:tentative="0">
      <w:start w:val="1"/>
      <w:numFmt w:val="decimal"/>
      <w:pStyle w:val="105"/>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10">
    <w:nsid w:val="2C5917C3"/>
    <w:multiLevelType w:val="multilevel"/>
    <w:tmpl w:val="2C5917C3"/>
    <w:lvl w:ilvl="0" w:tentative="0">
      <w:start w:val="1"/>
      <w:numFmt w:val="none"/>
      <w:pStyle w:val="54"/>
      <w:suff w:val="nothing"/>
      <w:lvlText w:val="%1——"/>
      <w:lvlJc w:val="left"/>
      <w:pPr>
        <w:ind w:left="833" w:hanging="408"/>
      </w:pPr>
      <w:rPr>
        <w:rFonts w:hint="eastAsia"/>
      </w:rPr>
    </w:lvl>
    <w:lvl w:ilvl="1" w:tentative="0">
      <w:start w:val="1"/>
      <w:numFmt w:val="bullet"/>
      <w:pStyle w:val="55"/>
      <w:lvlText w:val=""/>
      <w:lvlJc w:val="left"/>
      <w:pPr>
        <w:tabs>
          <w:tab w:val="left" w:pos="760"/>
        </w:tabs>
        <w:ind w:left="1264" w:hanging="413"/>
      </w:pPr>
      <w:rPr>
        <w:rFonts w:hint="default" w:ascii="Symbol" w:hAnsi="Symbol"/>
        <w:color w:val="auto"/>
      </w:rPr>
    </w:lvl>
    <w:lvl w:ilvl="2" w:tentative="0">
      <w:start w:val="1"/>
      <w:numFmt w:val="bullet"/>
      <w:pStyle w:val="66"/>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D733618"/>
    <w:multiLevelType w:val="multilevel"/>
    <w:tmpl w:val="3D733618"/>
    <w:lvl w:ilvl="0" w:tentative="0">
      <w:start w:val="1"/>
      <w:numFmt w:val="decimal"/>
      <w:pStyle w:val="26"/>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12">
    <w:nsid w:val="4D7C489A"/>
    <w:multiLevelType w:val="multilevel"/>
    <w:tmpl w:val="4D7C489A"/>
    <w:lvl w:ilvl="0" w:tentative="0">
      <w:start w:val="1"/>
      <w:numFmt w:val="decimal"/>
      <w:pStyle w:val="68"/>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13">
    <w:nsid w:val="60B55DC2"/>
    <w:multiLevelType w:val="multilevel"/>
    <w:tmpl w:val="60B55DC2"/>
    <w:lvl w:ilvl="0" w:tentative="0">
      <w:start w:val="1"/>
      <w:numFmt w:val="upperLetter"/>
      <w:pStyle w:val="92"/>
      <w:lvlText w:val="%1"/>
      <w:lvlJc w:val="left"/>
      <w:pPr>
        <w:tabs>
          <w:tab w:val="left" w:pos="0"/>
        </w:tabs>
        <w:ind w:left="0" w:hanging="425"/>
      </w:pPr>
      <w:rPr>
        <w:rFonts w:hint="eastAsia"/>
      </w:rPr>
    </w:lvl>
    <w:lvl w:ilvl="1" w:tentative="0">
      <w:start w:val="1"/>
      <w:numFmt w:val="decimal"/>
      <w:pStyle w:val="93"/>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4">
    <w:nsid w:val="646260FA"/>
    <w:multiLevelType w:val="multilevel"/>
    <w:tmpl w:val="646260FA"/>
    <w:lvl w:ilvl="0" w:tentative="0">
      <w:start w:val="1"/>
      <w:numFmt w:val="decimal"/>
      <w:pStyle w:val="132"/>
      <w:suff w:val="nothing"/>
      <w:lvlText w:val="表%1　"/>
      <w:lvlJc w:val="left"/>
      <w:pPr>
        <w:ind w:left="5387"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5">
    <w:nsid w:val="657D3FBC"/>
    <w:multiLevelType w:val="multilevel"/>
    <w:tmpl w:val="657D3FBC"/>
    <w:lvl w:ilvl="0" w:tentative="0">
      <w:start w:val="1"/>
      <w:numFmt w:val="upperLetter"/>
      <w:pStyle w:val="90"/>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108"/>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109"/>
      <w:suff w:val="nothing"/>
      <w:lvlText w:val="%1.%2.%3　"/>
      <w:lvlJc w:val="left"/>
      <w:pPr>
        <w:ind w:left="0" w:firstLine="0"/>
      </w:pPr>
      <w:rPr>
        <w:rFonts w:hint="eastAsia" w:ascii="黑体" w:hAnsi="Times New Roman" w:eastAsia="黑体"/>
        <w:b w:val="0"/>
        <w:i w:val="0"/>
        <w:sz w:val="21"/>
      </w:rPr>
    </w:lvl>
    <w:lvl w:ilvl="3" w:tentative="0">
      <w:start w:val="1"/>
      <w:numFmt w:val="decimal"/>
      <w:pStyle w:val="94"/>
      <w:suff w:val="nothing"/>
      <w:lvlText w:val="%1.%2.%3.%4　"/>
      <w:lvlJc w:val="left"/>
      <w:pPr>
        <w:ind w:left="0" w:firstLine="0"/>
      </w:pPr>
      <w:rPr>
        <w:rFonts w:hint="eastAsia" w:ascii="黑体" w:hAnsi="Times New Roman" w:eastAsia="黑体"/>
        <w:b w:val="0"/>
        <w:i w:val="0"/>
        <w:sz w:val="21"/>
      </w:rPr>
    </w:lvl>
    <w:lvl w:ilvl="4" w:tentative="0">
      <w:start w:val="1"/>
      <w:numFmt w:val="decimal"/>
      <w:pStyle w:val="99"/>
      <w:suff w:val="nothing"/>
      <w:lvlText w:val="%1.%2.%3.%4.%5　"/>
      <w:lvlJc w:val="left"/>
      <w:pPr>
        <w:ind w:left="0" w:firstLine="0"/>
      </w:pPr>
      <w:rPr>
        <w:rFonts w:hint="eastAsia" w:ascii="黑体" w:hAnsi="Times New Roman" w:eastAsia="黑体"/>
        <w:b w:val="0"/>
        <w:i w:val="0"/>
        <w:sz w:val="21"/>
      </w:rPr>
    </w:lvl>
    <w:lvl w:ilvl="5" w:tentative="0">
      <w:start w:val="1"/>
      <w:numFmt w:val="decimal"/>
      <w:pStyle w:val="102"/>
      <w:suff w:val="nothing"/>
      <w:lvlText w:val="%1.%2.%3.%4.%5.%6　"/>
      <w:lvlJc w:val="left"/>
      <w:pPr>
        <w:ind w:left="0" w:firstLine="0"/>
      </w:pPr>
      <w:rPr>
        <w:rFonts w:hint="eastAsia" w:ascii="黑体" w:hAnsi="Times New Roman" w:eastAsia="黑体"/>
        <w:b w:val="0"/>
        <w:i w:val="0"/>
        <w:sz w:val="21"/>
      </w:rPr>
    </w:lvl>
    <w:lvl w:ilvl="6" w:tentative="0">
      <w:start w:val="1"/>
      <w:numFmt w:val="decimal"/>
      <w:pStyle w:val="106"/>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6">
    <w:nsid w:val="6D6C07CD"/>
    <w:multiLevelType w:val="multilevel"/>
    <w:tmpl w:val="6D6C07CD"/>
    <w:lvl w:ilvl="0" w:tentative="0">
      <w:start w:val="1"/>
      <w:numFmt w:val="lowerLetter"/>
      <w:pStyle w:val="111"/>
      <w:lvlText w:val="%1)"/>
      <w:lvlJc w:val="left"/>
      <w:pPr>
        <w:tabs>
          <w:tab w:val="left" w:pos="839"/>
        </w:tabs>
        <w:ind w:left="839" w:hanging="419"/>
      </w:pPr>
      <w:rPr>
        <w:rFonts w:hint="eastAsia" w:ascii="宋体" w:eastAsia="宋体"/>
        <w:b w:val="0"/>
        <w:i w:val="0"/>
        <w:sz w:val="21"/>
      </w:rPr>
    </w:lvl>
    <w:lvl w:ilvl="1" w:tentative="0">
      <w:start w:val="1"/>
      <w:numFmt w:val="decimal"/>
      <w:pStyle w:val="101"/>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17">
    <w:nsid w:val="6DBF04F4"/>
    <w:multiLevelType w:val="multilevel"/>
    <w:tmpl w:val="6DBF04F4"/>
    <w:lvl w:ilvl="0" w:tentative="0">
      <w:start w:val="1"/>
      <w:numFmt w:val="none"/>
      <w:pStyle w:val="63"/>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num w:numId="1">
    <w:abstractNumId w:val="11"/>
  </w:num>
  <w:num w:numId="2">
    <w:abstractNumId w:val="6"/>
  </w:num>
  <w:num w:numId="3">
    <w:abstractNumId w:val="10"/>
  </w:num>
  <w:num w:numId="4">
    <w:abstractNumId w:val="2"/>
  </w:num>
  <w:num w:numId="5">
    <w:abstractNumId w:val="8"/>
  </w:num>
  <w:num w:numId="6">
    <w:abstractNumId w:val="17"/>
  </w:num>
  <w:num w:numId="7">
    <w:abstractNumId w:val="0"/>
  </w:num>
  <w:num w:numId="8">
    <w:abstractNumId w:val="12"/>
  </w:num>
  <w:num w:numId="9">
    <w:abstractNumId w:val="7"/>
  </w:num>
  <w:num w:numId="10">
    <w:abstractNumId w:val="5"/>
  </w:num>
  <w:num w:numId="11">
    <w:abstractNumId w:val="15"/>
  </w:num>
  <w:num w:numId="12">
    <w:abstractNumId w:val="13"/>
  </w:num>
  <w:num w:numId="13">
    <w:abstractNumId w:val="16"/>
  </w:num>
  <w:num w:numId="14">
    <w:abstractNumId w:val="9"/>
  </w:num>
  <w:num w:numId="15">
    <w:abstractNumId w:val="1"/>
  </w:num>
  <w:num w:numId="16">
    <w:abstractNumId w:val="4"/>
  </w:num>
  <w:num w:numId="17">
    <w:abstractNumId w:val="14"/>
  </w:num>
  <w:num w:numId="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M5ZmE1ZjRhNzY3MWM5NGVmYTUzYTcwZWMzYTc3N2MifQ=="/>
  </w:docVars>
  <w:rsids>
    <w:rsidRoot w:val="00035925"/>
    <w:rsid w:val="00000244"/>
    <w:rsid w:val="0000185F"/>
    <w:rsid w:val="000025E9"/>
    <w:rsid w:val="00003DF2"/>
    <w:rsid w:val="0000586F"/>
    <w:rsid w:val="00007091"/>
    <w:rsid w:val="000073A9"/>
    <w:rsid w:val="000105A5"/>
    <w:rsid w:val="000107F4"/>
    <w:rsid w:val="00012ECE"/>
    <w:rsid w:val="0001383A"/>
    <w:rsid w:val="00013D86"/>
    <w:rsid w:val="00013E02"/>
    <w:rsid w:val="00017CC1"/>
    <w:rsid w:val="00020362"/>
    <w:rsid w:val="00020920"/>
    <w:rsid w:val="0002143C"/>
    <w:rsid w:val="000227C6"/>
    <w:rsid w:val="00023F19"/>
    <w:rsid w:val="00024214"/>
    <w:rsid w:val="00024C4B"/>
    <w:rsid w:val="00024E6D"/>
    <w:rsid w:val="00025A65"/>
    <w:rsid w:val="0002622B"/>
    <w:rsid w:val="00026C31"/>
    <w:rsid w:val="00027280"/>
    <w:rsid w:val="000301EA"/>
    <w:rsid w:val="00030D77"/>
    <w:rsid w:val="00031D6E"/>
    <w:rsid w:val="000320A7"/>
    <w:rsid w:val="00033918"/>
    <w:rsid w:val="00033CA8"/>
    <w:rsid w:val="00035485"/>
    <w:rsid w:val="000354BB"/>
    <w:rsid w:val="00035925"/>
    <w:rsid w:val="00037858"/>
    <w:rsid w:val="00040376"/>
    <w:rsid w:val="000422D9"/>
    <w:rsid w:val="0004306F"/>
    <w:rsid w:val="000450D2"/>
    <w:rsid w:val="00045E41"/>
    <w:rsid w:val="00045F06"/>
    <w:rsid w:val="00046940"/>
    <w:rsid w:val="00050260"/>
    <w:rsid w:val="000505D6"/>
    <w:rsid w:val="00052363"/>
    <w:rsid w:val="00054D32"/>
    <w:rsid w:val="00056660"/>
    <w:rsid w:val="00056BB9"/>
    <w:rsid w:val="000571EC"/>
    <w:rsid w:val="00057AB0"/>
    <w:rsid w:val="00060A25"/>
    <w:rsid w:val="00060AB8"/>
    <w:rsid w:val="00061A96"/>
    <w:rsid w:val="0006397D"/>
    <w:rsid w:val="00064ACD"/>
    <w:rsid w:val="00065ECC"/>
    <w:rsid w:val="00066A99"/>
    <w:rsid w:val="00067CDF"/>
    <w:rsid w:val="00071026"/>
    <w:rsid w:val="00072134"/>
    <w:rsid w:val="00074FBE"/>
    <w:rsid w:val="00075BBA"/>
    <w:rsid w:val="00077458"/>
    <w:rsid w:val="00080942"/>
    <w:rsid w:val="00082924"/>
    <w:rsid w:val="00082A53"/>
    <w:rsid w:val="0008395F"/>
    <w:rsid w:val="00083A09"/>
    <w:rsid w:val="00084001"/>
    <w:rsid w:val="00084329"/>
    <w:rsid w:val="00086C50"/>
    <w:rsid w:val="0009005E"/>
    <w:rsid w:val="00090793"/>
    <w:rsid w:val="00091803"/>
    <w:rsid w:val="0009228C"/>
    <w:rsid w:val="00092857"/>
    <w:rsid w:val="00092B30"/>
    <w:rsid w:val="00093292"/>
    <w:rsid w:val="000A04A0"/>
    <w:rsid w:val="000A20A9"/>
    <w:rsid w:val="000A4126"/>
    <w:rsid w:val="000A48B1"/>
    <w:rsid w:val="000B087B"/>
    <w:rsid w:val="000B3143"/>
    <w:rsid w:val="000B4801"/>
    <w:rsid w:val="000B7240"/>
    <w:rsid w:val="000B7779"/>
    <w:rsid w:val="000C2C90"/>
    <w:rsid w:val="000C2DFE"/>
    <w:rsid w:val="000C41F3"/>
    <w:rsid w:val="000C5097"/>
    <w:rsid w:val="000C5B03"/>
    <w:rsid w:val="000C6B05"/>
    <w:rsid w:val="000C6DD6"/>
    <w:rsid w:val="000C73D4"/>
    <w:rsid w:val="000D0DE9"/>
    <w:rsid w:val="000D1AB1"/>
    <w:rsid w:val="000D1DB8"/>
    <w:rsid w:val="000D2CF3"/>
    <w:rsid w:val="000D3D4C"/>
    <w:rsid w:val="000D4F51"/>
    <w:rsid w:val="000D687E"/>
    <w:rsid w:val="000D718B"/>
    <w:rsid w:val="000E03B1"/>
    <w:rsid w:val="000E0C46"/>
    <w:rsid w:val="000E1C58"/>
    <w:rsid w:val="000E21F4"/>
    <w:rsid w:val="000E2279"/>
    <w:rsid w:val="000E2EBC"/>
    <w:rsid w:val="000E71F0"/>
    <w:rsid w:val="000E720A"/>
    <w:rsid w:val="000E752B"/>
    <w:rsid w:val="000F030C"/>
    <w:rsid w:val="000F0C1E"/>
    <w:rsid w:val="000F129C"/>
    <w:rsid w:val="000F24A9"/>
    <w:rsid w:val="000F2CA9"/>
    <w:rsid w:val="000F45EB"/>
    <w:rsid w:val="000F5146"/>
    <w:rsid w:val="000F5EC3"/>
    <w:rsid w:val="00100C46"/>
    <w:rsid w:val="00100EA2"/>
    <w:rsid w:val="00102BA2"/>
    <w:rsid w:val="00103667"/>
    <w:rsid w:val="001056DE"/>
    <w:rsid w:val="00111404"/>
    <w:rsid w:val="001124C0"/>
    <w:rsid w:val="00113108"/>
    <w:rsid w:val="00113C83"/>
    <w:rsid w:val="0011423A"/>
    <w:rsid w:val="00122078"/>
    <w:rsid w:val="001256D8"/>
    <w:rsid w:val="0012790A"/>
    <w:rsid w:val="0013175F"/>
    <w:rsid w:val="00131809"/>
    <w:rsid w:val="001335D2"/>
    <w:rsid w:val="0013386A"/>
    <w:rsid w:val="001338B0"/>
    <w:rsid w:val="001357E4"/>
    <w:rsid w:val="001369F9"/>
    <w:rsid w:val="001404A1"/>
    <w:rsid w:val="00141705"/>
    <w:rsid w:val="00142B50"/>
    <w:rsid w:val="001453EB"/>
    <w:rsid w:val="00146524"/>
    <w:rsid w:val="00147CE1"/>
    <w:rsid w:val="001512B4"/>
    <w:rsid w:val="001515AC"/>
    <w:rsid w:val="00151F24"/>
    <w:rsid w:val="001531D6"/>
    <w:rsid w:val="00153F84"/>
    <w:rsid w:val="001555AC"/>
    <w:rsid w:val="001556E5"/>
    <w:rsid w:val="00156462"/>
    <w:rsid w:val="00157078"/>
    <w:rsid w:val="00160020"/>
    <w:rsid w:val="001620A5"/>
    <w:rsid w:val="00163151"/>
    <w:rsid w:val="00163562"/>
    <w:rsid w:val="00163C7F"/>
    <w:rsid w:val="00163E17"/>
    <w:rsid w:val="0016400B"/>
    <w:rsid w:val="00164E53"/>
    <w:rsid w:val="00165CDA"/>
    <w:rsid w:val="0016699D"/>
    <w:rsid w:val="00167E25"/>
    <w:rsid w:val="001711E3"/>
    <w:rsid w:val="001716B6"/>
    <w:rsid w:val="0017252D"/>
    <w:rsid w:val="00172CF4"/>
    <w:rsid w:val="00173C0B"/>
    <w:rsid w:val="0017474B"/>
    <w:rsid w:val="00175159"/>
    <w:rsid w:val="00176208"/>
    <w:rsid w:val="00177E07"/>
    <w:rsid w:val="0018211B"/>
    <w:rsid w:val="0018216F"/>
    <w:rsid w:val="00182CAA"/>
    <w:rsid w:val="001830BE"/>
    <w:rsid w:val="001840D3"/>
    <w:rsid w:val="0018621B"/>
    <w:rsid w:val="001900F8"/>
    <w:rsid w:val="00191258"/>
    <w:rsid w:val="00192680"/>
    <w:rsid w:val="00193037"/>
    <w:rsid w:val="00193A2C"/>
    <w:rsid w:val="00195C11"/>
    <w:rsid w:val="00195ECB"/>
    <w:rsid w:val="00196568"/>
    <w:rsid w:val="001966E3"/>
    <w:rsid w:val="00196AD1"/>
    <w:rsid w:val="001971FB"/>
    <w:rsid w:val="001A06AF"/>
    <w:rsid w:val="001A1517"/>
    <w:rsid w:val="001A2344"/>
    <w:rsid w:val="001A288E"/>
    <w:rsid w:val="001A49BC"/>
    <w:rsid w:val="001A49D2"/>
    <w:rsid w:val="001A6704"/>
    <w:rsid w:val="001A70CD"/>
    <w:rsid w:val="001B196B"/>
    <w:rsid w:val="001B1B14"/>
    <w:rsid w:val="001B24E7"/>
    <w:rsid w:val="001B63F8"/>
    <w:rsid w:val="001B6DC2"/>
    <w:rsid w:val="001C06DD"/>
    <w:rsid w:val="001C0931"/>
    <w:rsid w:val="001C0B18"/>
    <w:rsid w:val="001C149C"/>
    <w:rsid w:val="001C1594"/>
    <w:rsid w:val="001C16BF"/>
    <w:rsid w:val="001C21AC"/>
    <w:rsid w:val="001C2244"/>
    <w:rsid w:val="001C47BA"/>
    <w:rsid w:val="001C59EA"/>
    <w:rsid w:val="001C6583"/>
    <w:rsid w:val="001C6F27"/>
    <w:rsid w:val="001D02DC"/>
    <w:rsid w:val="001D0D37"/>
    <w:rsid w:val="001D2512"/>
    <w:rsid w:val="001D3ADA"/>
    <w:rsid w:val="001D406C"/>
    <w:rsid w:val="001D41EE"/>
    <w:rsid w:val="001D4BD5"/>
    <w:rsid w:val="001D62D6"/>
    <w:rsid w:val="001D63D9"/>
    <w:rsid w:val="001D6E16"/>
    <w:rsid w:val="001D7CA1"/>
    <w:rsid w:val="001D7EC8"/>
    <w:rsid w:val="001E0380"/>
    <w:rsid w:val="001E13B1"/>
    <w:rsid w:val="001E18B2"/>
    <w:rsid w:val="001E3938"/>
    <w:rsid w:val="001E686E"/>
    <w:rsid w:val="001F3A19"/>
    <w:rsid w:val="001F4002"/>
    <w:rsid w:val="001F4145"/>
    <w:rsid w:val="00202AA9"/>
    <w:rsid w:val="00202B65"/>
    <w:rsid w:val="00203C48"/>
    <w:rsid w:val="00204313"/>
    <w:rsid w:val="002055B0"/>
    <w:rsid w:val="002100C0"/>
    <w:rsid w:val="00211F96"/>
    <w:rsid w:val="002146CD"/>
    <w:rsid w:val="00216AA4"/>
    <w:rsid w:val="00216B36"/>
    <w:rsid w:val="002175D4"/>
    <w:rsid w:val="00221AC6"/>
    <w:rsid w:val="0022668C"/>
    <w:rsid w:val="00227012"/>
    <w:rsid w:val="00227C7C"/>
    <w:rsid w:val="00230421"/>
    <w:rsid w:val="00234467"/>
    <w:rsid w:val="002361D3"/>
    <w:rsid w:val="00236752"/>
    <w:rsid w:val="0023723B"/>
    <w:rsid w:val="00237D8D"/>
    <w:rsid w:val="00241552"/>
    <w:rsid w:val="00241DA2"/>
    <w:rsid w:val="002439B2"/>
    <w:rsid w:val="002445F4"/>
    <w:rsid w:val="00247ABD"/>
    <w:rsid w:val="00247FEE"/>
    <w:rsid w:val="00250986"/>
    <w:rsid w:val="00250E7D"/>
    <w:rsid w:val="00252C40"/>
    <w:rsid w:val="002533F6"/>
    <w:rsid w:val="002545AA"/>
    <w:rsid w:val="00254E77"/>
    <w:rsid w:val="002565D5"/>
    <w:rsid w:val="002566F1"/>
    <w:rsid w:val="00256D41"/>
    <w:rsid w:val="00260859"/>
    <w:rsid w:val="002622C0"/>
    <w:rsid w:val="002631C6"/>
    <w:rsid w:val="00263E3F"/>
    <w:rsid w:val="002659AE"/>
    <w:rsid w:val="00270368"/>
    <w:rsid w:val="002707DC"/>
    <w:rsid w:val="002714D9"/>
    <w:rsid w:val="00272DF0"/>
    <w:rsid w:val="00273110"/>
    <w:rsid w:val="002763E9"/>
    <w:rsid w:val="002778AE"/>
    <w:rsid w:val="002824F4"/>
    <w:rsid w:val="0028269A"/>
    <w:rsid w:val="00282B96"/>
    <w:rsid w:val="00283590"/>
    <w:rsid w:val="00284925"/>
    <w:rsid w:val="00286973"/>
    <w:rsid w:val="00286E15"/>
    <w:rsid w:val="00290CE9"/>
    <w:rsid w:val="00290CF8"/>
    <w:rsid w:val="00294E70"/>
    <w:rsid w:val="002A0CDE"/>
    <w:rsid w:val="002A1924"/>
    <w:rsid w:val="002A3AF7"/>
    <w:rsid w:val="002A50AE"/>
    <w:rsid w:val="002A5C86"/>
    <w:rsid w:val="002A7420"/>
    <w:rsid w:val="002B00B4"/>
    <w:rsid w:val="002B040E"/>
    <w:rsid w:val="002B0F12"/>
    <w:rsid w:val="002B1308"/>
    <w:rsid w:val="002B1A96"/>
    <w:rsid w:val="002B4554"/>
    <w:rsid w:val="002B460A"/>
    <w:rsid w:val="002B6A7C"/>
    <w:rsid w:val="002B74BA"/>
    <w:rsid w:val="002C0A3D"/>
    <w:rsid w:val="002C72D8"/>
    <w:rsid w:val="002C77EA"/>
    <w:rsid w:val="002C77FA"/>
    <w:rsid w:val="002C7AA8"/>
    <w:rsid w:val="002D08E3"/>
    <w:rsid w:val="002D11FA"/>
    <w:rsid w:val="002D1764"/>
    <w:rsid w:val="002D2A61"/>
    <w:rsid w:val="002D553F"/>
    <w:rsid w:val="002E0DDF"/>
    <w:rsid w:val="002E2906"/>
    <w:rsid w:val="002E363B"/>
    <w:rsid w:val="002E3790"/>
    <w:rsid w:val="002E4C35"/>
    <w:rsid w:val="002E5635"/>
    <w:rsid w:val="002E64C3"/>
    <w:rsid w:val="002E6A2C"/>
    <w:rsid w:val="002E728A"/>
    <w:rsid w:val="002F1D8C"/>
    <w:rsid w:val="002F21DA"/>
    <w:rsid w:val="002F2C5A"/>
    <w:rsid w:val="002F2D12"/>
    <w:rsid w:val="002F2F32"/>
    <w:rsid w:val="002F2F5E"/>
    <w:rsid w:val="002F3043"/>
    <w:rsid w:val="00301F39"/>
    <w:rsid w:val="00302B1F"/>
    <w:rsid w:val="00303C6D"/>
    <w:rsid w:val="0030454A"/>
    <w:rsid w:val="00305F64"/>
    <w:rsid w:val="0031055E"/>
    <w:rsid w:val="003110F4"/>
    <w:rsid w:val="0031166D"/>
    <w:rsid w:val="00314E9C"/>
    <w:rsid w:val="00316291"/>
    <w:rsid w:val="0032051D"/>
    <w:rsid w:val="00323805"/>
    <w:rsid w:val="00324923"/>
    <w:rsid w:val="00324FAF"/>
    <w:rsid w:val="00325550"/>
    <w:rsid w:val="00325926"/>
    <w:rsid w:val="00327A8A"/>
    <w:rsid w:val="00327C34"/>
    <w:rsid w:val="00327ED3"/>
    <w:rsid w:val="00331324"/>
    <w:rsid w:val="00333AFA"/>
    <w:rsid w:val="003348A9"/>
    <w:rsid w:val="003353BB"/>
    <w:rsid w:val="00335474"/>
    <w:rsid w:val="003361D7"/>
    <w:rsid w:val="00336610"/>
    <w:rsid w:val="00336828"/>
    <w:rsid w:val="00336867"/>
    <w:rsid w:val="003370F5"/>
    <w:rsid w:val="00337B6C"/>
    <w:rsid w:val="00340AAC"/>
    <w:rsid w:val="00341D1D"/>
    <w:rsid w:val="003423E6"/>
    <w:rsid w:val="00343F73"/>
    <w:rsid w:val="003447A1"/>
    <w:rsid w:val="00345060"/>
    <w:rsid w:val="003456EF"/>
    <w:rsid w:val="003478E1"/>
    <w:rsid w:val="00350C4D"/>
    <w:rsid w:val="003522F2"/>
    <w:rsid w:val="0035323B"/>
    <w:rsid w:val="00353D72"/>
    <w:rsid w:val="0035642F"/>
    <w:rsid w:val="003609D2"/>
    <w:rsid w:val="00361664"/>
    <w:rsid w:val="00363534"/>
    <w:rsid w:val="00363F22"/>
    <w:rsid w:val="003651C6"/>
    <w:rsid w:val="00365808"/>
    <w:rsid w:val="003664D3"/>
    <w:rsid w:val="00367068"/>
    <w:rsid w:val="003670CE"/>
    <w:rsid w:val="0037100F"/>
    <w:rsid w:val="003729ED"/>
    <w:rsid w:val="003753D3"/>
    <w:rsid w:val="00375564"/>
    <w:rsid w:val="00375D2E"/>
    <w:rsid w:val="003771F7"/>
    <w:rsid w:val="0038037E"/>
    <w:rsid w:val="00380A51"/>
    <w:rsid w:val="0038133F"/>
    <w:rsid w:val="00381826"/>
    <w:rsid w:val="00383191"/>
    <w:rsid w:val="00384214"/>
    <w:rsid w:val="0038537B"/>
    <w:rsid w:val="00385FE6"/>
    <w:rsid w:val="00386396"/>
    <w:rsid w:val="003869EE"/>
    <w:rsid w:val="00386DED"/>
    <w:rsid w:val="003910BF"/>
    <w:rsid w:val="003912E7"/>
    <w:rsid w:val="00393947"/>
    <w:rsid w:val="0039423A"/>
    <w:rsid w:val="003944B2"/>
    <w:rsid w:val="00394E25"/>
    <w:rsid w:val="003957BF"/>
    <w:rsid w:val="003A0E08"/>
    <w:rsid w:val="003A2275"/>
    <w:rsid w:val="003A545D"/>
    <w:rsid w:val="003A6A4F"/>
    <w:rsid w:val="003A6CC1"/>
    <w:rsid w:val="003A7088"/>
    <w:rsid w:val="003B00DF"/>
    <w:rsid w:val="003B10A7"/>
    <w:rsid w:val="003B1275"/>
    <w:rsid w:val="003B158A"/>
    <w:rsid w:val="003B1778"/>
    <w:rsid w:val="003B2B91"/>
    <w:rsid w:val="003B3716"/>
    <w:rsid w:val="003B3BD2"/>
    <w:rsid w:val="003B51C7"/>
    <w:rsid w:val="003B553C"/>
    <w:rsid w:val="003C11CB"/>
    <w:rsid w:val="003C2D85"/>
    <w:rsid w:val="003C5480"/>
    <w:rsid w:val="003C6791"/>
    <w:rsid w:val="003C75F3"/>
    <w:rsid w:val="003C78A3"/>
    <w:rsid w:val="003D1094"/>
    <w:rsid w:val="003D1FDB"/>
    <w:rsid w:val="003D36F4"/>
    <w:rsid w:val="003D7EC0"/>
    <w:rsid w:val="003E0142"/>
    <w:rsid w:val="003E066E"/>
    <w:rsid w:val="003E1867"/>
    <w:rsid w:val="003E18A0"/>
    <w:rsid w:val="003E2951"/>
    <w:rsid w:val="003E42DC"/>
    <w:rsid w:val="003E42ED"/>
    <w:rsid w:val="003E44C2"/>
    <w:rsid w:val="003E5729"/>
    <w:rsid w:val="003E5B77"/>
    <w:rsid w:val="003E75C5"/>
    <w:rsid w:val="003E7B6E"/>
    <w:rsid w:val="003F2E66"/>
    <w:rsid w:val="003F4107"/>
    <w:rsid w:val="003F4EE0"/>
    <w:rsid w:val="003F76D3"/>
    <w:rsid w:val="003F780B"/>
    <w:rsid w:val="00401015"/>
    <w:rsid w:val="00402153"/>
    <w:rsid w:val="00402FC1"/>
    <w:rsid w:val="00404D48"/>
    <w:rsid w:val="004050AC"/>
    <w:rsid w:val="0041329D"/>
    <w:rsid w:val="004142B0"/>
    <w:rsid w:val="00414E7E"/>
    <w:rsid w:val="004154A6"/>
    <w:rsid w:val="00416F43"/>
    <w:rsid w:val="00421258"/>
    <w:rsid w:val="0042139F"/>
    <w:rsid w:val="0042421E"/>
    <w:rsid w:val="00425082"/>
    <w:rsid w:val="0042555A"/>
    <w:rsid w:val="004313A9"/>
    <w:rsid w:val="00431DEB"/>
    <w:rsid w:val="00431F0D"/>
    <w:rsid w:val="00433891"/>
    <w:rsid w:val="00436C12"/>
    <w:rsid w:val="00440C1A"/>
    <w:rsid w:val="004429F5"/>
    <w:rsid w:val="00445233"/>
    <w:rsid w:val="0044576C"/>
    <w:rsid w:val="0044608D"/>
    <w:rsid w:val="00446B29"/>
    <w:rsid w:val="004503D2"/>
    <w:rsid w:val="00453539"/>
    <w:rsid w:val="00453F9A"/>
    <w:rsid w:val="00456813"/>
    <w:rsid w:val="00457078"/>
    <w:rsid w:val="00457117"/>
    <w:rsid w:val="00460F34"/>
    <w:rsid w:val="004615B2"/>
    <w:rsid w:val="0046570F"/>
    <w:rsid w:val="00470740"/>
    <w:rsid w:val="00471E91"/>
    <w:rsid w:val="00472CDC"/>
    <w:rsid w:val="0047456B"/>
    <w:rsid w:val="00474675"/>
    <w:rsid w:val="0047470C"/>
    <w:rsid w:val="00477A47"/>
    <w:rsid w:val="0048081C"/>
    <w:rsid w:val="004860DF"/>
    <w:rsid w:val="004917B5"/>
    <w:rsid w:val="0049184B"/>
    <w:rsid w:val="004948B0"/>
    <w:rsid w:val="004A22C4"/>
    <w:rsid w:val="004A278C"/>
    <w:rsid w:val="004A28E8"/>
    <w:rsid w:val="004A35F9"/>
    <w:rsid w:val="004A394D"/>
    <w:rsid w:val="004A472D"/>
    <w:rsid w:val="004A7C02"/>
    <w:rsid w:val="004A7F77"/>
    <w:rsid w:val="004B1526"/>
    <w:rsid w:val="004B24C1"/>
    <w:rsid w:val="004B34D3"/>
    <w:rsid w:val="004B402D"/>
    <w:rsid w:val="004B4981"/>
    <w:rsid w:val="004B4CE9"/>
    <w:rsid w:val="004B5520"/>
    <w:rsid w:val="004C292F"/>
    <w:rsid w:val="004C4087"/>
    <w:rsid w:val="004D1442"/>
    <w:rsid w:val="004D3333"/>
    <w:rsid w:val="004D4187"/>
    <w:rsid w:val="004D56E3"/>
    <w:rsid w:val="004D60DE"/>
    <w:rsid w:val="004D639F"/>
    <w:rsid w:val="004E1B97"/>
    <w:rsid w:val="004E31F8"/>
    <w:rsid w:val="004E50D4"/>
    <w:rsid w:val="004E5467"/>
    <w:rsid w:val="004E5A3C"/>
    <w:rsid w:val="004E5D78"/>
    <w:rsid w:val="004E7035"/>
    <w:rsid w:val="004F06B3"/>
    <w:rsid w:val="004F20F8"/>
    <w:rsid w:val="004F72D4"/>
    <w:rsid w:val="004F7807"/>
    <w:rsid w:val="004F7884"/>
    <w:rsid w:val="005000F9"/>
    <w:rsid w:val="0050018A"/>
    <w:rsid w:val="005041E8"/>
    <w:rsid w:val="00505A09"/>
    <w:rsid w:val="00506081"/>
    <w:rsid w:val="00510280"/>
    <w:rsid w:val="00511423"/>
    <w:rsid w:val="00512C95"/>
    <w:rsid w:val="00513BFE"/>
    <w:rsid w:val="00513D73"/>
    <w:rsid w:val="00514A43"/>
    <w:rsid w:val="005174E5"/>
    <w:rsid w:val="00520541"/>
    <w:rsid w:val="00522393"/>
    <w:rsid w:val="00522620"/>
    <w:rsid w:val="00524E29"/>
    <w:rsid w:val="00525656"/>
    <w:rsid w:val="00526554"/>
    <w:rsid w:val="00527AF4"/>
    <w:rsid w:val="00530A77"/>
    <w:rsid w:val="00530ADC"/>
    <w:rsid w:val="00534C02"/>
    <w:rsid w:val="00534CDC"/>
    <w:rsid w:val="00535036"/>
    <w:rsid w:val="0054031B"/>
    <w:rsid w:val="00540D3B"/>
    <w:rsid w:val="0054264B"/>
    <w:rsid w:val="00542BC2"/>
    <w:rsid w:val="00543786"/>
    <w:rsid w:val="00544A59"/>
    <w:rsid w:val="0054536A"/>
    <w:rsid w:val="00545881"/>
    <w:rsid w:val="0055330F"/>
    <w:rsid w:val="005533D7"/>
    <w:rsid w:val="0055797A"/>
    <w:rsid w:val="00562D4A"/>
    <w:rsid w:val="00566489"/>
    <w:rsid w:val="00567319"/>
    <w:rsid w:val="00570217"/>
    <w:rsid w:val="005703DE"/>
    <w:rsid w:val="005704FA"/>
    <w:rsid w:val="00570D7A"/>
    <w:rsid w:val="005714A9"/>
    <w:rsid w:val="005737CD"/>
    <w:rsid w:val="00573AA6"/>
    <w:rsid w:val="00574726"/>
    <w:rsid w:val="005772CC"/>
    <w:rsid w:val="00577F94"/>
    <w:rsid w:val="00580E05"/>
    <w:rsid w:val="00581DE3"/>
    <w:rsid w:val="005827B5"/>
    <w:rsid w:val="00582EE5"/>
    <w:rsid w:val="0058464E"/>
    <w:rsid w:val="00586848"/>
    <w:rsid w:val="005869DC"/>
    <w:rsid w:val="0059121D"/>
    <w:rsid w:val="005912E8"/>
    <w:rsid w:val="00592205"/>
    <w:rsid w:val="00593B48"/>
    <w:rsid w:val="00593C14"/>
    <w:rsid w:val="0059410D"/>
    <w:rsid w:val="00596D08"/>
    <w:rsid w:val="00597418"/>
    <w:rsid w:val="00597496"/>
    <w:rsid w:val="005974D9"/>
    <w:rsid w:val="005A01CB"/>
    <w:rsid w:val="005A0451"/>
    <w:rsid w:val="005A0DFF"/>
    <w:rsid w:val="005A4BAC"/>
    <w:rsid w:val="005A58FF"/>
    <w:rsid w:val="005A5EAF"/>
    <w:rsid w:val="005A64C0"/>
    <w:rsid w:val="005B0329"/>
    <w:rsid w:val="005B2493"/>
    <w:rsid w:val="005B3C11"/>
    <w:rsid w:val="005B3DD8"/>
    <w:rsid w:val="005B4686"/>
    <w:rsid w:val="005B4BDD"/>
    <w:rsid w:val="005B64D4"/>
    <w:rsid w:val="005B7498"/>
    <w:rsid w:val="005B7596"/>
    <w:rsid w:val="005B7E1C"/>
    <w:rsid w:val="005C09CB"/>
    <w:rsid w:val="005C1C28"/>
    <w:rsid w:val="005C332C"/>
    <w:rsid w:val="005C43F5"/>
    <w:rsid w:val="005C4589"/>
    <w:rsid w:val="005C6DB5"/>
    <w:rsid w:val="005D047F"/>
    <w:rsid w:val="005D41C0"/>
    <w:rsid w:val="005D5DAD"/>
    <w:rsid w:val="005E19E7"/>
    <w:rsid w:val="005E2803"/>
    <w:rsid w:val="005E2C45"/>
    <w:rsid w:val="005E4E77"/>
    <w:rsid w:val="005F0D35"/>
    <w:rsid w:val="005F1174"/>
    <w:rsid w:val="005F13C1"/>
    <w:rsid w:val="005F2D23"/>
    <w:rsid w:val="005F4393"/>
    <w:rsid w:val="005F4DF8"/>
    <w:rsid w:val="005F505E"/>
    <w:rsid w:val="006001BA"/>
    <w:rsid w:val="00601FEC"/>
    <w:rsid w:val="00602215"/>
    <w:rsid w:val="006032B6"/>
    <w:rsid w:val="0060706E"/>
    <w:rsid w:val="00610B31"/>
    <w:rsid w:val="006138C8"/>
    <w:rsid w:val="00615F93"/>
    <w:rsid w:val="0061633E"/>
    <w:rsid w:val="00616A91"/>
    <w:rsid w:val="0061716C"/>
    <w:rsid w:val="00617BFC"/>
    <w:rsid w:val="00620559"/>
    <w:rsid w:val="006243A1"/>
    <w:rsid w:val="00626C4D"/>
    <w:rsid w:val="00630B02"/>
    <w:rsid w:val="00632E56"/>
    <w:rsid w:val="0063378C"/>
    <w:rsid w:val="0063598B"/>
    <w:rsid w:val="00635CBA"/>
    <w:rsid w:val="00635CD4"/>
    <w:rsid w:val="006369F3"/>
    <w:rsid w:val="00636F34"/>
    <w:rsid w:val="0064208E"/>
    <w:rsid w:val="0064338B"/>
    <w:rsid w:val="00644D28"/>
    <w:rsid w:val="00644D53"/>
    <w:rsid w:val="00646542"/>
    <w:rsid w:val="00646C8D"/>
    <w:rsid w:val="00646D40"/>
    <w:rsid w:val="006478F6"/>
    <w:rsid w:val="00647FB2"/>
    <w:rsid w:val="006504F4"/>
    <w:rsid w:val="0065392D"/>
    <w:rsid w:val="00653E6C"/>
    <w:rsid w:val="00654BC9"/>
    <w:rsid w:val="006552FD"/>
    <w:rsid w:val="00655991"/>
    <w:rsid w:val="00655AA6"/>
    <w:rsid w:val="00655D2F"/>
    <w:rsid w:val="006613AC"/>
    <w:rsid w:val="00662076"/>
    <w:rsid w:val="006628A2"/>
    <w:rsid w:val="0066396F"/>
    <w:rsid w:val="00663AF3"/>
    <w:rsid w:val="00664E83"/>
    <w:rsid w:val="00666B6C"/>
    <w:rsid w:val="00667865"/>
    <w:rsid w:val="006711ED"/>
    <w:rsid w:val="00672577"/>
    <w:rsid w:val="0067288D"/>
    <w:rsid w:val="00672900"/>
    <w:rsid w:val="00672A2C"/>
    <w:rsid w:val="00672B2C"/>
    <w:rsid w:val="0067582C"/>
    <w:rsid w:val="00676D71"/>
    <w:rsid w:val="00681E3A"/>
    <w:rsid w:val="00682682"/>
    <w:rsid w:val="00682702"/>
    <w:rsid w:val="00682AF6"/>
    <w:rsid w:val="00682CAE"/>
    <w:rsid w:val="00684965"/>
    <w:rsid w:val="00684C63"/>
    <w:rsid w:val="00684D2A"/>
    <w:rsid w:val="00687EF4"/>
    <w:rsid w:val="00691F21"/>
    <w:rsid w:val="00692368"/>
    <w:rsid w:val="006934F6"/>
    <w:rsid w:val="00693E98"/>
    <w:rsid w:val="00694D8E"/>
    <w:rsid w:val="00695C21"/>
    <w:rsid w:val="006A2903"/>
    <w:rsid w:val="006A2EBC"/>
    <w:rsid w:val="006A43AA"/>
    <w:rsid w:val="006A482E"/>
    <w:rsid w:val="006A4A77"/>
    <w:rsid w:val="006A590B"/>
    <w:rsid w:val="006A5EA0"/>
    <w:rsid w:val="006A783B"/>
    <w:rsid w:val="006A7B33"/>
    <w:rsid w:val="006B256C"/>
    <w:rsid w:val="006B4818"/>
    <w:rsid w:val="006B4E13"/>
    <w:rsid w:val="006B553A"/>
    <w:rsid w:val="006B5D33"/>
    <w:rsid w:val="006B75DD"/>
    <w:rsid w:val="006C0005"/>
    <w:rsid w:val="006C1B4E"/>
    <w:rsid w:val="006C248D"/>
    <w:rsid w:val="006C5C59"/>
    <w:rsid w:val="006C67E0"/>
    <w:rsid w:val="006C6BD3"/>
    <w:rsid w:val="006C7ABA"/>
    <w:rsid w:val="006D09EA"/>
    <w:rsid w:val="006D0D60"/>
    <w:rsid w:val="006D1122"/>
    <w:rsid w:val="006D1537"/>
    <w:rsid w:val="006D2DF3"/>
    <w:rsid w:val="006D3C00"/>
    <w:rsid w:val="006D4430"/>
    <w:rsid w:val="006D6CF4"/>
    <w:rsid w:val="006E07A3"/>
    <w:rsid w:val="006E2026"/>
    <w:rsid w:val="006E3675"/>
    <w:rsid w:val="006E4A7F"/>
    <w:rsid w:val="006E53E5"/>
    <w:rsid w:val="006E55A2"/>
    <w:rsid w:val="006E5921"/>
    <w:rsid w:val="006F3BCD"/>
    <w:rsid w:val="006F4504"/>
    <w:rsid w:val="006F7C63"/>
    <w:rsid w:val="00701095"/>
    <w:rsid w:val="007036A4"/>
    <w:rsid w:val="00704C37"/>
    <w:rsid w:val="00704DF6"/>
    <w:rsid w:val="0070651C"/>
    <w:rsid w:val="007067F0"/>
    <w:rsid w:val="007073C0"/>
    <w:rsid w:val="007132A3"/>
    <w:rsid w:val="00713962"/>
    <w:rsid w:val="00714F4D"/>
    <w:rsid w:val="00716421"/>
    <w:rsid w:val="00717EF3"/>
    <w:rsid w:val="00720B68"/>
    <w:rsid w:val="0072183C"/>
    <w:rsid w:val="00724913"/>
    <w:rsid w:val="00724EFB"/>
    <w:rsid w:val="007253F6"/>
    <w:rsid w:val="00732CF8"/>
    <w:rsid w:val="00733F64"/>
    <w:rsid w:val="00734054"/>
    <w:rsid w:val="007344DA"/>
    <w:rsid w:val="0073490F"/>
    <w:rsid w:val="00735077"/>
    <w:rsid w:val="00735417"/>
    <w:rsid w:val="00735DDE"/>
    <w:rsid w:val="00735FA8"/>
    <w:rsid w:val="007403BF"/>
    <w:rsid w:val="007414AD"/>
    <w:rsid w:val="007414B3"/>
    <w:rsid w:val="007419C3"/>
    <w:rsid w:val="0074257F"/>
    <w:rsid w:val="00743542"/>
    <w:rsid w:val="00744F22"/>
    <w:rsid w:val="007454EC"/>
    <w:rsid w:val="00745EAC"/>
    <w:rsid w:val="007467A7"/>
    <w:rsid w:val="007469DD"/>
    <w:rsid w:val="00746BB2"/>
    <w:rsid w:val="0074741B"/>
    <w:rsid w:val="0074759E"/>
    <w:rsid w:val="0074760B"/>
    <w:rsid w:val="007478EA"/>
    <w:rsid w:val="00753571"/>
    <w:rsid w:val="00753A7D"/>
    <w:rsid w:val="0075415C"/>
    <w:rsid w:val="00755147"/>
    <w:rsid w:val="00756D99"/>
    <w:rsid w:val="00757504"/>
    <w:rsid w:val="00761DEB"/>
    <w:rsid w:val="00762603"/>
    <w:rsid w:val="00763502"/>
    <w:rsid w:val="00764577"/>
    <w:rsid w:val="00770B9C"/>
    <w:rsid w:val="00780E61"/>
    <w:rsid w:val="00781FE4"/>
    <w:rsid w:val="00782B34"/>
    <w:rsid w:val="0078358C"/>
    <w:rsid w:val="00784036"/>
    <w:rsid w:val="00784253"/>
    <w:rsid w:val="007859FB"/>
    <w:rsid w:val="00790310"/>
    <w:rsid w:val="00790951"/>
    <w:rsid w:val="007913AB"/>
    <w:rsid w:val="007914F7"/>
    <w:rsid w:val="00791FF2"/>
    <w:rsid w:val="007931DC"/>
    <w:rsid w:val="0079360E"/>
    <w:rsid w:val="00794689"/>
    <w:rsid w:val="00794860"/>
    <w:rsid w:val="007972DA"/>
    <w:rsid w:val="007A0E22"/>
    <w:rsid w:val="007A3972"/>
    <w:rsid w:val="007A3A6B"/>
    <w:rsid w:val="007A3DD0"/>
    <w:rsid w:val="007A5EDB"/>
    <w:rsid w:val="007B05B8"/>
    <w:rsid w:val="007B096B"/>
    <w:rsid w:val="007B1625"/>
    <w:rsid w:val="007B1896"/>
    <w:rsid w:val="007B4B3C"/>
    <w:rsid w:val="007B6FB8"/>
    <w:rsid w:val="007B706E"/>
    <w:rsid w:val="007B71EB"/>
    <w:rsid w:val="007C4918"/>
    <w:rsid w:val="007C50A2"/>
    <w:rsid w:val="007C5D9F"/>
    <w:rsid w:val="007C6205"/>
    <w:rsid w:val="007C686A"/>
    <w:rsid w:val="007C728E"/>
    <w:rsid w:val="007D1B18"/>
    <w:rsid w:val="007D261F"/>
    <w:rsid w:val="007D2C53"/>
    <w:rsid w:val="007D3D60"/>
    <w:rsid w:val="007D425D"/>
    <w:rsid w:val="007D57E4"/>
    <w:rsid w:val="007D666F"/>
    <w:rsid w:val="007E0810"/>
    <w:rsid w:val="007E1980"/>
    <w:rsid w:val="007E1D0D"/>
    <w:rsid w:val="007E278E"/>
    <w:rsid w:val="007E3077"/>
    <w:rsid w:val="007E4B76"/>
    <w:rsid w:val="007E4CBD"/>
    <w:rsid w:val="007E5184"/>
    <w:rsid w:val="007E528A"/>
    <w:rsid w:val="007E5C1B"/>
    <w:rsid w:val="007E5EA8"/>
    <w:rsid w:val="007E640F"/>
    <w:rsid w:val="007E78A9"/>
    <w:rsid w:val="007E7BA1"/>
    <w:rsid w:val="007F0A14"/>
    <w:rsid w:val="007F0CF1"/>
    <w:rsid w:val="007F12A5"/>
    <w:rsid w:val="007F4CF1"/>
    <w:rsid w:val="007F5089"/>
    <w:rsid w:val="007F758D"/>
    <w:rsid w:val="007F7D52"/>
    <w:rsid w:val="00803DAF"/>
    <w:rsid w:val="00804F40"/>
    <w:rsid w:val="00804FA0"/>
    <w:rsid w:val="008059D1"/>
    <w:rsid w:val="0080654C"/>
    <w:rsid w:val="008071C6"/>
    <w:rsid w:val="00812F19"/>
    <w:rsid w:val="0081315A"/>
    <w:rsid w:val="00817A00"/>
    <w:rsid w:val="008205DC"/>
    <w:rsid w:val="00821A00"/>
    <w:rsid w:val="00823387"/>
    <w:rsid w:val="00823DA8"/>
    <w:rsid w:val="008301ED"/>
    <w:rsid w:val="008305C2"/>
    <w:rsid w:val="00832095"/>
    <w:rsid w:val="00832741"/>
    <w:rsid w:val="00832F30"/>
    <w:rsid w:val="00834C14"/>
    <w:rsid w:val="008356C8"/>
    <w:rsid w:val="00835DB3"/>
    <w:rsid w:val="0083617B"/>
    <w:rsid w:val="008371BD"/>
    <w:rsid w:val="008403D3"/>
    <w:rsid w:val="008406DC"/>
    <w:rsid w:val="0084248C"/>
    <w:rsid w:val="00842BBF"/>
    <w:rsid w:val="00842D0F"/>
    <w:rsid w:val="008504A8"/>
    <w:rsid w:val="00851642"/>
    <w:rsid w:val="00851997"/>
    <w:rsid w:val="00851E33"/>
    <w:rsid w:val="00852302"/>
    <w:rsid w:val="0085282E"/>
    <w:rsid w:val="008547FC"/>
    <w:rsid w:val="008615DB"/>
    <w:rsid w:val="00862E49"/>
    <w:rsid w:val="00863930"/>
    <w:rsid w:val="00865370"/>
    <w:rsid w:val="008676A3"/>
    <w:rsid w:val="00867B7D"/>
    <w:rsid w:val="0087198C"/>
    <w:rsid w:val="008729D8"/>
    <w:rsid w:val="00872C1F"/>
    <w:rsid w:val="00873B42"/>
    <w:rsid w:val="008760F6"/>
    <w:rsid w:val="0087643D"/>
    <w:rsid w:val="00881397"/>
    <w:rsid w:val="008856D8"/>
    <w:rsid w:val="00887B4E"/>
    <w:rsid w:val="00887BFD"/>
    <w:rsid w:val="00891BA6"/>
    <w:rsid w:val="008927AA"/>
    <w:rsid w:val="00892BDD"/>
    <w:rsid w:val="00892E82"/>
    <w:rsid w:val="00896095"/>
    <w:rsid w:val="00897845"/>
    <w:rsid w:val="008A451A"/>
    <w:rsid w:val="008B02F0"/>
    <w:rsid w:val="008B153C"/>
    <w:rsid w:val="008B215E"/>
    <w:rsid w:val="008B2C19"/>
    <w:rsid w:val="008B34EB"/>
    <w:rsid w:val="008B439D"/>
    <w:rsid w:val="008B5EDF"/>
    <w:rsid w:val="008C11BE"/>
    <w:rsid w:val="008C1B58"/>
    <w:rsid w:val="008C1F45"/>
    <w:rsid w:val="008C39AE"/>
    <w:rsid w:val="008C3A4F"/>
    <w:rsid w:val="008C4574"/>
    <w:rsid w:val="008C590D"/>
    <w:rsid w:val="008C6AA8"/>
    <w:rsid w:val="008C7EE5"/>
    <w:rsid w:val="008D141B"/>
    <w:rsid w:val="008D1BA9"/>
    <w:rsid w:val="008D61C4"/>
    <w:rsid w:val="008E031B"/>
    <w:rsid w:val="008E3D96"/>
    <w:rsid w:val="008E3E12"/>
    <w:rsid w:val="008E6378"/>
    <w:rsid w:val="008E7029"/>
    <w:rsid w:val="008E7EF6"/>
    <w:rsid w:val="008F07C1"/>
    <w:rsid w:val="008F1F98"/>
    <w:rsid w:val="008F3718"/>
    <w:rsid w:val="008F4B68"/>
    <w:rsid w:val="008F4EC9"/>
    <w:rsid w:val="008F54A0"/>
    <w:rsid w:val="008F6758"/>
    <w:rsid w:val="009016CB"/>
    <w:rsid w:val="009040DD"/>
    <w:rsid w:val="0090505B"/>
    <w:rsid w:val="00905B47"/>
    <w:rsid w:val="00907433"/>
    <w:rsid w:val="0091331C"/>
    <w:rsid w:val="00913EA2"/>
    <w:rsid w:val="0091430E"/>
    <w:rsid w:val="00915643"/>
    <w:rsid w:val="00915EAB"/>
    <w:rsid w:val="00917B0A"/>
    <w:rsid w:val="00920599"/>
    <w:rsid w:val="00922235"/>
    <w:rsid w:val="00924137"/>
    <w:rsid w:val="009245BE"/>
    <w:rsid w:val="00925457"/>
    <w:rsid w:val="00925639"/>
    <w:rsid w:val="00927354"/>
    <w:rsid w:val="009275ED"/>
    <w:rsid w:val="009279DE"/>
    <w:rsid w:val="00927A2F"/>
    <w:rsid w:val="00930116"/>
    <w:rsid w:val="00930303"/>
    <w:rsid w:val="00932153"/>
    <w:rsid w:val="00933A46"/>
    <w:rsid w:val="00934A4E"/>
    <w:rsid w:val="00937CA1"/>
    <w:rsid w:val="0094212C"/>
    <w:rsid w:val="00943B89"/>
    <w:rsid w:val="009505BC"/>
    <w:rsid w:val="00954689"/>
    <w:rsid w:val="00956EEC"/>
    <w:rsid w:val="009576E0"/>
    <w:rsid w:val="009617C9"/>
    <w:rsid w:val="00961C93"/>
    <w:rsid w:val="00965324"/>
    <w:rsid w:val="0097091E"/>
    <w:rsid w:val="00972076"/>
    <w:rsid w:val="0097327D"/>
    <w:rsid w:val="00975131"/>
    <w:rsid w:val="009755D5"/>
    <w:rsid w:val="009760D3"/>
    <w:rsid w:val="00977132"/>
    <w:rsid w:val="009773B4"/>
    <w:rsid w:val="00980727"/>
    <w:rsid w:val="00981A4B"/>
    <w:rsid w:val="0098238D"/>
    <w:rsid w:val="00982501"/>
    <w:rsid w:val="00986414"/>
    <w:rsid w:val="0098725D"/>
    <w:rsid w:val="009877D3"/>
    <w:rsid w:val="0099002C"/>
    <w:rsid w:val="00991DDC"/>
    <w:rsid w:val="009930B0"/>
    <w:rsid w:val="00994741"/>
    <w:rsid w:val="00994E8F"/>
    <w:rsid w:val="009951DC"/>
    <w:rsid w:val="009957C9"/>
    <w:rsid w:val="009959BB"/>
    <w:rsid w:val="00995B80"/>
    <w:rsid w:val="00996F18"/>
    <w:rsid w:val="00997158"/>
    <w:rsid w:val="009971EF"/>
    <w:rsid w:val="009A06D1"/>
    <w:rsid w:val="009A1887"/>
    <w:rsid w:val="009A3A7C"/>
    <w:rsid w:val="009A6B02"/>
    <w:rsid w:val="009A6B45"/>
    <w:rsid w:val="009A6E78"/>
    <w:rsid w:val="009A6F6E"/>
    <w:rsid w:val="009A74D2"/>
    <w:rsid w:val="009B0D57"/>
    <w:rsid w:val="009B15B3"/>
    <w:rsid w:val="009B2360"/>
    <w:rsid w:val="009B2704"/>
    <w:rsid w:val="009B2ADB"/>
    <w:rsid w:val="009B49C0"/>
    <w:rsid w:val="009B5DFB"/>
    <w:rsid w:val="009B603A"/>
    <w:rsid w:val="009B61CB"/>
    <w:rsid w:val="009B688C"/>
    <w:rsid w:val="009B7AFF"/>
    <w:rsid w:val="009C0AF6"/>
    <w:rsid w:val="009C2D0E"/>
    <w:rsid w:val="009C3C38"/>
    <w:rsid w:val="009C3DAC"/>
    <w:rsid w:val="009C42E0"/>
    <w:rsid w:val="009C50E7"/>
    <w:rsid w:val="009C59AA"/>
    <w:rsid w:val="009C6098"/>
    <w:rsid w:val="009C6957"/>
    <w:rsid w:val="009D04AC"/>
    <w:rsid w:val="009D5362"/>
    <w:rsid w:val="009D5E7C"/>
    <w:rsid w:val="009D79F8"/>
    <w:rsid w:val="009D7D4E"/>
    <w:rsid w:val="009E1415"/>
    <w:rsid w:val="009E4DE1"/>
    <w:rsid w:val="009E5604"/>
    <w:rsid w:val="009E6116"/>
    <w:rsid w:val="009E6AB5"/>
    <w:rsid w:val="009F1B46"/>
    <w:rsid w:val="009F1F75"/>
    <w:rsid w:val="009F2700"/>
    <w:rsid w:val="009F3884"/>
    <w:rsid w:val="009F38C5"/>
    <w:rsid w:val="009F3FE2"/>
    <w:rsid w:val="009F506F"/>
    <w:rsid w:val="009F5FB3"/>
    <w:rsid w:val="009F7293"/>
    <w:rsid w:val="00A025F9"/>
    <w:rsid w:val="00A02E43"/>
    <w:rsid w:val="00A0377A"/>
    <w:rsid w:val="00A04641"/>
    <w:rsid w:val="00A065F9"/>
    <w:rsid w:val="00A0745E"/>
    <w:rsid w:val="00A07F34"/>
    <w:rsid w:val="00A11251"/>
    <w:rsid w:val="00A11618"/>
    <w:rsid w:val="00A15026"/>
    <w:rsid w:val="00A15ED5"/>
    <w:rsid w:val="00A2067B"/>
    <w:rsid w:val="00A20903"/>
    <w:rsid w:val="00A22154"/>
    <w:rsid w:val="00A23058"/>
    <w:rsid w:val="00A25C38"/>
    <w:rsid w:val="00A26783"/>
    <w:rsid w:val="00A2731E"/>
    <w:rsid w:val="00A30AF1"/>
    <w:rsid w:val="00A33283"/>
    <w:rsid w:val="00A36BBE"/>
    <w:rsid w:val="00A37D71"/>
    <w:rsid w:val="00A4307A"/>
    <w:rsid w:val="00A43D6E"/>
    <w:rsid w:val="00A4581B"/>
    <w:rsid w:val="00A462CD"/>
    <w:rsid w:val="00A47EBB"/>
    <w:rsid w:val="00A50A5C"/>
    <w:rsid w:val="00A51CDD"/>
    <w:rsid w:val="00A522E0"/>
    <w:rsid w:val="00A52AC3"/>
    <w:rsid w:val="00A53C8B"/>
    <w:rsid w:val="00A54C56"/>
    <w:rsid w:val="00A54F4D"/>
    <w:rsid w:val="00A57217"/>
    <w:rsid w:val="00A6219A"/>
    <w:rsid w:val="00A62B86"/>
    <w:rsid w:val="00A62D99"/>
    <w:rsid w:val="00A65070"/>
    <w:rsid w:val="00A6730D"/>
    <w:rsid w:val="00A67EC8"/>
    <w:rsid w:val="00A70196"/>
    <w:rsid w:val="00A705D4"/>
    <w:rsid w:val="00A71625"/>
    <w:rsid w:val="00A71B9B"/>
    <w:rsid w:val="00A72006"/>
    <w:rsid w:val="00A72027"/>
    <w:rsid w:val="00A729CC"/>
    <w:rsid w:val="00A72D0A"/>
    <w:rsid w:val="00A73B09"/>
    <w:rsid w:val="00A73B25"/>
    <w:rsid w:val="00A74AF2"/>
    <w:rsid w:val="00A751C7"/>
    <w:rsid w:val="00A82452"/>
    <w:rsid w:val="00A84FFA"/>
    <w:rsid w:val="00A8538A"/>
    <w:rsid w:val="00A8569C"/>
    <w:rsid w:val="00A87844"/>
    <w:rsid w:val="00A90608"/>
    <w:rsid w:val="00A90D90"/>
    <w:rsid w:val="00A91A6C"/>
    <w:rsid w:val="00A9211D"/>
    <w:rsid w:val="00A96777"/>
    <w:rsid w:val="00A96E8D"/>
    <w:rsid w:val="00AA038C"/>
    <w:rsid w:val="00AA253C"/>
    <w:rsid w:val="00AA7A09"/>
    <w:rsid w:val="00AB1C00"/>
    <w:rsid w:val="00AB36E6"/>
    <w:rsid w:val="00AB3B50"/>
    <w:rsid w:val="00AB75C6"/>
    <w:rsid w:val="00AC05B1"/>
    <w:rsid w:val="00AC1080"/>
    <w:rsid w:val="00AC1E37"/>
    <w:rsid w:val="00AC28B0"/>
    <w:rsid w:val="00AC35F1"/>
    <w:rsid w:val="00AC381D"/>
    <w:rsid w:val="00AC5B0F"/>
    <w:rsid w:val="00AC73DE"/>
    <w:rsid w:val="00AD2570"/>
    <w:rsid w:val="00AD356C"/>
    <w:rsid w:val="00AD4D00"/>
    <w:rsid w:val="00AD5A90"/>
    <w:rsid w:val="00AD66AC"/>
    <w:rsid w:val="00AE0970"/>
    <w:rsid w:val="00AE0F2B"/>
    <w:rsid w:val="00AE1F8A"/>
    <w:rsid w:val="00AE2914"/>
    <w:rsid w:val="00AE3986"/>
    <w:rsid w:val="00AE53AD"/>
    <w:rsid w:val="00AE6D15"/>
    <w:rsid w:val="00AE7FF5"/>
    <w:rsid w:val="00AF09EE"/>
    <w:rsid w:val="00AF1461"/>
    <w:rsid w:val="00AF4EA1"/>
    <w:rsid w:val="00AF5BA4"/>
    <w:rsid w:val="00AF6DC8"/>
    <w:rsid w:val="00AF7815"/>
    <w:rsid w:val="00B01056"/>
    <w:rsid w:val="00B02326"/>
    <w:rsid w:val="00B04182"/>
    <w:rsid w:val="00B0456F"/>
    <w:rsid w:val="00B051DA"/>
    <w:rsid w:val="00B06C58"/>
    <w:rsid w:val="00B07781"/>
    <w:rsid w:val="00B07AE3"/>
    <w:rsid w:val="00B1075A"/>
    <w:rsid w:val="00B10800"/>
    <w:rsid w:val="00B10D0D"/>
    <w:rsid w:val="00B11430"/>
    <w:rsid w:val="00B12AB8"/>
    <w:rsid w:val="00B13844"/>
    <w:rsid w:val="00B145D5"/>
    <w:rsid w:val="00B17F53"/>
    <w:rsid w:val="00B20525"/>
    <w:rsid w:val="00B22B25"/>
    <w:rsid w:val="00B23902"/>
    <w:rsid w:val="00B25EAA"/>
    <w:rsid w:val="00B34D38"/>
    <w:rsid w:val="00B353EB"/>
    <w:rsid w:val="00B368F0"/>
    <w:rsid w:val="00B439C4"/>
    <w:rsid w:val="00B4527E"/>
    <w:rsid w:val="00B4535E"/>
    <w:rsid w:val="00B518DE"/>
    <w:rsid w:val="00B51D34"/>
    <w:rsid w:val="00B52A8C"/>
    <w:rsid w:val="00B53134"/>
    <w:rsid w:val="00B54078"/>
    <w:rsid w:val="00B542BA"/>
    <w:rsid w:val="00B55156"/>
    <w:rsid w:val="00B55A6D"/>
    <w:rsid w:val="00B55B45"/>
    <w:rsid w:val="00B567A1"/>
    <w:rsid w:val="00B57C8A"/>
    <w:rsid w:val="00B6003C"/>
    <w:rsid w:val="00B61029"/>
    <w:rsid w:val="00B628D5"/>
    <w:rsid w:val="00B636A8"/>
    <w:rsid w:val="00B653A6"/>
    <w:rsid w:val="00B657CE"/>
    <w:rsid w:val="00B665C6"/>
    <w:rsid w:val="00B66FE3"/>
    <w:rsid w:val="00B67B43"/>
    <w:rsid w:val="00B67D09"/>
    <w:rsid w:val="00B70385"/>
    <w:rsid w:val="00B71252"/>
    <w:rsid w:val="00B71F5F"/>
    <w:rsid w:val="00B72150"/>
    <w:rsid w:val="00B735A9"/>
    <w:rsid w:val="00B739B8"/>
    <w:rsid w:val="00B75180"/>
    <w:rsid w:val="00B805AF"/>
    <w:rsid w:val="00B81C11"/>
    <w:rsid w:val="00B820BF"/>
    <w:rsid w:val="00B84889"/>
    <w:rsid w:val="00B869EC"/>
    <w:rsid w:val="00B8761D"/>
    <w:rsid w:val="00B879D9"/>
    <w:rsid w:val="00B9018F"/>
    <w:rsid w:val="00B9362B"/>
    <w:rsid w:val="00B9397A"/>
    <w:rsid w:val="00B94F5F"/>
    <w:rsid w:val="00B9633D"/>
    <w:rsid w:val="00B96CBC"/>
    <w:rsid w:val="00BA0B75"/>
    <w:rsid w:val="00BA29FF"/>
    <w:rsid w:val="00BA2EBE"/>
    <w:rsid w:val="00BA67E8"/>
    <w:rsid w:val="00BA6A3C"/>
    <w:rsid w:val="00BA7C7E"/>
    <w:rsid w:val="00BB0F28"/>
    <w:rsid w:val="00BB458A"/>
    <w:rsid w:val="00BB4660"/>
    <w:rsid w:val="00BB6E97"/>
    <w:rsid w:val="00BC0D70"/>
    <w:rsid w:val="00BC1DD1"/>
    <w:rsid w:val="00BC2E0C"/>
    <w:rsid w:val="00BC2EF9"/>
    <w:rsid w:val="00BC3139"/>
    <w:rsid w:val="00BC35B6"/>
    <w:rsid w:val="00BC551F"/>
    <w:rsid w:val="00BC6EDD"/>
    <w:rsid w:val="00BC6FA6"/>
    <w:rsid w:val="00BD00D3"/>
    <w:rsid w:val="00BD1659"/>
    <w:rsid w:val="00BD1CAC"/>
    <w:rsid w:val="00BD34D7"/>
    <w:rsid w:val="00BD3AA9"/>
    <w:rsid w:val="00BD40B3"/>
    <w:rsid w:val="00BD47F0"/>
    <w:rsid w:val="00BD4A18"/>
    <w:rsid w:val="00BD4DDD"/>
    <w:rsid w:val="00BD5B4B"/>
    <w:rsid w:val="00BD6DB2"/>
    <w:rsid w:val="00BD6F74"/>
    <w:rsid w:val="00BE11CF"/>
    <w:rsid w:val="00BE1F3C"/>
    <w:rsid w:val="00BE21AB"/>
    <w:rsid w:val="00BE3532"/>
    <w:rsid w:val="00BE475C"/>
    <w:rsid w:val="00BE4DD7"/>
    <w:rsid w:val="00BE5463"/>
    <w:rsid w:val="00BE55CB"/>
    <w:rsid w:val="00BF13D2"/>
    <w:rsid w:val="00BF1F6E"/>
    <w:rsid w:val="00BF4A2E"/>
    <w:rsid w:val="00BF617A"/>
    <w:rsid w:val="00BF6FCE"/>
    <w:rsid w:val="00BF7191"/>
    <w:rsid w:val="00C00790"/>
    <w:rsid w:val="00C00A99"/>
    <w:rsid w:val="00C0379D"/>
    <w:rsid w:val="00C03931"/>
    <w:rsid w:val="00C049FD"/>
    <w:rsid w:val="00C04D31"/>
    <w:rsid w:val="00C0591F"/>
    <w:rsid w:val="00C05FE3"/>
    <w:rsid w:val="00C072B9"/>
    <w:rsid w:val="00C10AFA"/>
    <w:rsid w:val="00C112AB"/>
    <w:rsid w:val="00C13664"/>
    <w:rsid w:val="00C1683E"/>
    <w:rsid w:val="00C17E21"/>
    <w:rsid w:val="00C17EF9"/>
    <w:rsid w:val="00C20257"/>
    <w:rsid w:val="00C2136D"/>
    <w:rsid w:val="00C214EE"/>
    <w:rsid w:val="00C2243C"/>
    <w:rsid w:val="00C22B8C"/>
    <w:rsid w:val="00C2314B"/>
    <w:rsid w:val="00C24971"/>
    <w:rsid w:val="00C26BE5"/>
    <w:rsid w:val="00C26E4D"/>
    <w:rsid w:val="00C277F0"/>
    <w:rsid w:val="00C27909"/>
    <w:rsid w:val="00C27B03"/>
    <w:rsid w:val="00C314E1"/>
    <w:rsid w:val="00C336ED"/>
    <w:rsid w:val="00C33A1E"/>
    <w:rsid w:val="00C34397"/>
    <w:rsid w:val="00C34583"/>
    <w:rsid w:val="00C35766"/>
    <w:rsid w:val="00C3773C"/>
    <w:rsid w:val="00C3788B"/>
    <w:rsid w:val="00C4095D"/>
    <w:rsid w:val="00C439F9"/>
    <w:rsid w:val="00C446C1"/>
    <w:rsid w:val="00C45F21"/>
    <w:rsid w:val="00C47638"/>
    <w:rsid w:val="00C524ED"/>
    <w:rsid w:val="00C5301A"/>
    <w:rsid w:val="00C53A48"/>
    <w:rsid w:val="00C55747"/>
    <w:rsid w:val="00C56194"/>
    <w:rsid w:val="00C601D2"/>
    <w:rsid w:val="00C62560"/>
    <w:rsid w:val="00C65BCC"/>
    <w:rsid w:val="00C66970"/>
    <w:rsid w:val="00C71155"/>
    <w:rsid w:val="00C7217C"/>
    <w:rsid w:val="00C72930"/>
    <w:rsid w:val="00C73A0A"/>
    <w:rsid w:val="00C74AC3"/>
    <w:rsid w:val="00C77F3F"/>
    <w:rsid w:val="00C804ED"/>
    <w:rsid w:val="00C81B68"/>
    <w:rsid w:val="00C84E66"/>
    <w:rsid w:val="00C85059"/>
    <w:rsid w:val="00C85471"/>
    <w:rsid w:val="00C8691C"/>
    <w:rsid w:val="00C87E74"/>
    <w:rsid w:val="00C9103D"/>
    <w:rsid w:val="00C91C31"/>
    <w:rsid w:val="00C92C3A"/>
    <w:rsid w:val="00CA01CE"/>
    <w:rsid w:val="00CA168A"/>
    <w:rsid w:val="00CA1FFE"/>
    <w:rsid w:val="00CA357E"/>
    <w:rsid w:val="00CA44F9"/>
    <w:rsid w:val="00CA4A69"/>
    <w:rsid w:val="00CA4AD3"/>
    <w:rsid w:val="00CA50B9"/>
    <w:rsid w:val="00CB01C5"/>
    <w:rsid w:val="00CB13AB"/>
    <w:rsid w:val="00CB31F0"/>
    <w:rsid w:val="00CB33AE"/>
    <w:rsid w:val="00CB3470"/>
    <w:rsid w:val="00CB435E"/>
    <w:rsid w:val="00CB4650"/>
    <w:rsid w:val="00CC0F37"/>
    <w:rsid w:val="00CC1599"/>
    <w:rsid w:val="00CC3CF3"/>
    <w:rsid w:val="00CC3E0C"/>
    <w:rsid w:val="00CC46D8"/>
    <w:rsid w:val="00CC497C"/>
    <w:rsid w:val="00CC58D3"/>
    <w:rsid w:val="00CC758D"/>
    <w:rsid w:val="00CC784D"/>
    <w:rsid w:val="00CD000D"/>
    <w:rsid w:val="00CD1DC5"/>
    <w:rsid w:val="00CD6FB1"/>
    <w:rsid w:val="00CD74A9"/>
    <w:rsid w:val="00CD7C1B"/>
    <w:rsid w:val="00CE4B3A"/>
    <w:rsid w:val="00CE538D"/>
    <w:rsid w:val="00CE601D"/>
    <w:rsid w:val="00CE7835"/>
    <w:rsid w:val="00CF2EE5"/>
    <w:rsid w:val="00CF3BC4"/>
    <w:rsid w:val="00CF448F"/>
    <w:rsid w:val="00CF4805"/>
    <w:rsid w:val="00CF5D18"/>
    <w:rsid w:val="00CF783E"/>
    <w:rsid w:val="00CF788B"/>
    <w:rsid w:val="00D0045B"/>
    <w:rsid w:val="00D02319"/>
    <w:rsid w:val="00D029BC"/>
    <w:rsid w:val="00D0333A"/>
    <w:rsid w:val="00D0337B"/>
    <w:rsid w:val="00D04601"/>
    <w:rsid w:val="00D04C37"/>
    <w:rsid w:val="00D0770F"/>
    <w:rsid w:val="00D079B2"/>
    <w:rsid w:val="00D114E9"/>
    <w:rsid w:val="00D134C7"/>
    <w:rsid w:val="00D136C8"/>
    <w:rsid w:val="00D145F2"/>
    <w:rsid w:val="00D1647F"/>
    <w:rsid w:val="00D177F5"/>
    <w:rsid w:val="00D207B9"/>
    <w:rsid w:val="00D21852"/>
    <w:rsid w:val="00D22EE0"/>
    <w:rsid w:val="00D247E7"/>
    <w:rsid w:val="00D257E6"/>
    <w:rsid w:val="00D27827"/>
    <w:rsid w:val="00D303D4"/>
    <w:rsid w:val="00D31124"/>
    <w:rsid w:val="00D31A72"/>
    <w:rsid w:val="00D32AD4"/>
    <w:rsid w:val="00D33134"/>
    <w:rsid w:val="00D3467D"/>
    <w:rsid w:val="00D34760"/>
    <w:rsid w:val="00D34AC3"/>
    <w:rsid w:val="00D35B50"/>
    <w:rsid w:val="00D36FAD"/>
    <w:rsid w:val="00D41235"/>
    <w:rsid w:val="00D4167D"/>
    <w:rsid w:val="00D429C6"/>
    <w:rsid w:val="00D42BD6"/>
    <w:rsid w:val="00D47528"/>
    <w:rsid w:val="00D47748"/>
    <w:rsid w:val="00D47A3C"/>
    <w:rsid w:val="00D53AF1"/>
    <w:rsid w:val="00D54CC3"/>
    <w:rsid w:val="00D56617"/>
    <w:rsid w:val="00D575D1"/>
    <w:rsid w:val="00D602EF"/>
    <w:rsid w:val="00D6041A"/>
    <w:rsid w:val="00D61234"/>
    <w:rsid w:val="00D631BE"/>
    <w:rsid w:val="00D633EB"/>
    <w:rsid w:val="00D6542B"/>
    <w:rsid w:val="00D70B07"/>
    <w:rsid w:val="00D74557"/>
    <w:rsid w:val="00D8278A"/>
    <w:rsid w:val="00D82FF7"/>
    <w:rsid w:val="00D83C68"/>
    <w:rsid w:val="00D847FE"/>
    <w:rsid w:val="00D876B0"/>
    <w:rsid w:val="00D90E76"/>
    <w:rsid w:val="00D922D9"/>
    <w:rsid w:val="00D92D28"/>
    <w:rsid w:val="00D92D4F"/>
    <w:rsid w:val="00D9645B"/>
    <w:rsid w:val="00D964EA"/>
    <w:rsid w:val="00D966D0"/>
    <w:rsid w:val="00DA0C59"/>
    <w:rsid w:val="00DA30BB"/>
    <w:rsid w:val="00DA3991"/>
    <w:rsid w:val="00DA43BB"/>
    <w:rsid w:val="00DA7344"/>
    <w:rsid w:val="00DA7B6A"/>
    <w:rsid w:val="00DB0990"/>
    <w:rsid w:val="00DB09E6"/>
    <w:rsid w:val="00DB0AA2"/>
    <w:rsid w:val="00DB14DE"/>
    <w:rsid w:val="00DB1792"/>
    <w:rsid w:val="00DB1FD8"/>
    <w:rsid w:val="00DB3158"/>
    <w:rsid w:val="00DB3BA7"/>
    <w:rsid w:val="00DB436E"/>
    <w:rsid w:val="00DB4E0A"/>
    <w:rsid w:val="00DB590C"/>
    <w:rsid w:val="00DB59BB"/>
    <w:rsid w:val="00DB6BBB"/>
    <w:rsid w:val="00DB70D9"/>
    <w:rsid w:val="00DB723E"/>
    <w:rsid w:val="00DB76A0"/>
    <w:rsid w:val="00DB7E6C"/>
    <w:rsid w:val="00DC0486"/>
    <w:rsid w:val="00DC3DCA"/>
    <w:rsid w:val="00DC4017"/>
    <w:rsid w:val="00DC4982"/>
    <w:rsid w:val="00DC7125"/>
    <w:rsid w:val="00DD054E"/>
    <w:rsid w:val="00DD10E8"/>
    <w:rsid w:val="00DD26B5"/>
    <w:rsid w:val="00DD4289"/>
    <w:rsid w:val="00DD57E8"/>
    <w:rsid w:val="00DD5A29"/>
    <w:rsid w:val="00DD5D9D"/>
    <w:rsid w:val="00DE0CB9"/>
    <w:rsid w:val="00DE1AE7"/>
    <w:rsid w:val="00DE2AE1"/>
    <w:rsid w:val="00DE35CB"/>
    <w:rsid w:val="00DE3A35"/>
    <w:rsid w:val="00DE3C77"/>
    <w:rsid w:val="00DE465A"/>
    <w:rsid w:val="00DE5FD9"/>
    <w:rsid w:val="00DE7E1C"/>
    <w:rsid w:val="00DF21E9"/>
    <w:rsid w:val="00DF2812"/>
    <w:rsid w:val="00DF3452"/>
    <w:rsid w:val="00DF392C"/>
    <w:rsid w:val="00DF45A5"/>
    <w:rsid w:val="00DF481D"/>
    <w:rsid w:val="00DF64C4"/>
    <w:rsid w:val="00DF7BE0"/>
    <w:rsid w:val="00E00F14"/>
    <w:rsid w:val="00E03620"/>
    <w:rsid w:val="00E048D5"/>
    <w:rsid w:val="00E04A17"/>
    <w:rsid w:val="00E06386"/>
    <w:rsid w:val="00E11BE9"/>
    <w:rsid w:val="00E11FD6"/>
    <w:rsid w:val="00E132BA"/>
    <w:rsid w:val="00E13B2B"/>
    <w:rsid w:val="00E14E72"/>
    <w:rsid w:val="00E17690"/>
    <w:rsid w:val="00E22D4D"/>
    <w:rsid w:val="00E23274"/>
    <w:rsid w:val="00E2338D"/>
    <w:rsid w:val="00E24B66"/>
    <w:rsid w:val="00E24EB4"/>
    <w:rsid w:val="00E3045B"/>
    <w:rsid w:val="00E30FA3"/>
    <w:rsid w:val="00E31879"/>
    <w:rsid w:val="00E320ED"/>
    <w:rsid w:val="00E32C60"/>
    <w:rsid w:val="00E33AFB"/>
    <w:rsid w:val="00E34218"/>
    <w:rsid w:val="00E36D96"/>
    <w:rsid w:val="00E36F0A"/>
    <w:rsid w:val="00E41465"/>
    <w:rsid w:val="00E4175F"/>
    <w:rsid w:val="00E431EC"/>
    <w:rsid w:val="00E44324"/>
    <w:rsid w:val="00E46282"/>
    <w:rsid w:val="00E46D38"/>
    <w:rsid w:val="00E50ED5"/>
    <w:rsid w:val="00E5216E"/>
    <w:rsid w:val="00E530B5"/>
    <w:rsid w:val="00E54762"/>
    <w:rsid w:val="00E55F5A"/>
    <w:rsid w:val="00E5658C"/>
    <w:rsid w:val="00E57AF6"/>
    <w:rsid w:val="00E679D8"/>
    <w:rsid w:val="00E67BCC"/>
    <w:rsid w:val="00E700B6"/>
    <w:rsid w:val="00E715AD"/>
    <w:rsid w:val="00E716D7"/>
    <w:rsid w:val="00E731C9"/>
    <w:rsid w:val="00E735A0"/>
    <w:rsid w:val="00E73927"/>
    <w:rsid w:val="00E73F96"/>
    <w:rsid w:val="00E7733F"/>
    <w:rsid w:val="00E77FD5"/>
    <w:rsid w:val="00E80278"/>
    <w:rsid w:val="00E82344"/>
    <w:rsid w:val="00E83E63"/>
    <w:rsid w:val="00E84048"/>
    <w:rsid w:val="00E8432E"/>
    <w:rsid w:val="00E84C82"/>
    <w:rsid w:val="00E84D64"/>
    <w:rsid w:val="00E85BF2"/>
    <w:rsid w:val="00E869DE"/>
    <w:rsid w:val="00E87408"/>
    <w:rsid w:val="00E87D41"/>
    <w:rsid w:val="00E87E79"/>
    <w:rsid w:val="00E914C4"/>
    <w:rsid w:val="00E916F8"/>
    <w:rsid w:val="00E92556"/>
    <w:rsid w:val="00E934F5"/>
    <w:rsid w:val="00E93AFA"/>
    <w:rsid w:val="00E94582"/>
    <w:rsid w:val="00E964FF"/>
    <w:rsid w:val="00E96961"/>
    <w:rsid w:val="00E96D6F"/>
    <w:rsid w:val="00EA0DA4"/>
    <w:rsid w:val="00EA3E68"/>
    <w:rsid w:val="00EA72EC"/>
    <w:rsid w:val="00EA7946"/>
    <w:rsid w:val="00EA7F63"/>
    <w:rsid w:val="00EB11CB"/>
    <w:rsid w:val="00EB275A"/>
    <w:rsid w:val="00EB4A9E"/>
    <w:rsid w:val="00EB4D5A"/>
    <w:rsid w:val="00EB67B2"/>
    <w:rsid w:val="00EB7319"/>
    <w:rsid w:val="00EB786A"/>
    <w:rsid w:val="00EC1578"/>
    <w:rsid w:val="00EC1C72"/>
    <w:rsid w:val="00EC24FC"/>
    <w:rsid w:val="00EC3CC9"/>
    <w:rsid w:val="00EC5E48"/>
    <w:rsid w:val="00EC680A"/>
    <w:rsid w:val="00EC7573"/>
    <w:rsid w:val="00ED0E76"/>
    <w:rsid w:val="00ED1EA1"/>
    <w:rsid w:val="00ED594A"/>
    <w:rsid w:val="00EE19F3"/>
    <w:rsid w:val="00EE1DD1"/>
    <w:rsid w:val="00EE2BED"/>
    <w:rsid w:val="00EE2D93"/>
    <w:rsid w:val="00EE374B"/>
    <w:rsid w:val="00EE3A1B"/>
    <w:rsid w:val="00EE3D9F"/>
    <w:rsid w:val="00EE3EAC"/>
    <w:rsid w:val="00EF06D3"/>
    <w:rsid w:val="00EF0B7C"/>
    <w:rsid w:val="00EF2A26"/>
    <w:rsid w:val="00EF2D43"/>
    <w:rsid w:val="00EF38D0"/>
    <w:rsid w:val="00F00C8A"/>
    <w:rsid w:val="00F0176E"/>
    <w:rsid w:val="00F0190E"/>
    <w:rsid w:val="00F11813"/>
    <w:rsid w:val="00F11BB5"/>
    <w:rsid w:val="00F12701"/>
    <w:rsid w:val="00F130B9"/>
    <w:rsid w:val="00F1355E"/>
    <w:rsid w:val="00F13F96"/>
    <w:rsid w:val="00F1417B"/>
    <w:rsid w:val="00F16E35"/>
    <w:rsid w:val="00F21694"/>
    <w:rsid w:val="00F22960"/>
    <w:rsid w:val="00F2299F"/>
    <w:rsid w:val="00F300AC"/>
    <w:rsid w:val="00F33AA7"/>
    <w:rsid w:val="00F33B7D"/>
    <w:rsid w:val="00F34B99"/>
    <w:rsid w:val="00F3582F"/>
    <w:rsid w:val="00F369E1"/>
    <w:rsid w:val="00F37AA7"/>
    <w:rsid w:val="00F40A56"/>
    <w:rsid w:val="00F41D7A"/>
    <w:rsid w:val="00F42CDE"/>
    <w:rsid w:val="00F43E9F"/>
    <w:rsid w:val="00F51E34"/>
    <w:rsid w:val="00F525AD"/>
    <w:rsid w:val="00F52DAB"/>
    <w:rsid w:val="00F52F0E"/>
    <w:rsid w:val="00F5321A"/>
    <w:rsid w:val="00F53A69"/>
    <w:rsid w:val="00F543F0"/>
    <w:rsid w:val="00F60B1D"/>
    <w:rsid w:val="00F6138F"/>
    <w:rsid w:val="00F626D2"/>
    <w:rsid w:val="00F655CC"/>
    <w:rsid w:val="00F7404C"/>
    <w:rsid w:val="00F74BA0"/>
    <w:rsid w:val="00F75488"/>
    <w:rsid w:val="00F762D3"/>
    <w:rsid w:val="00F80C5F"/>
    <w:rsid w:val="00F814C2"/>
    <w:rsid w:val="00F814E3"/>
    <w:rsid w:val="00F815F2"/>
    <w:rsid w:val="00F81D29"/>
    <w:rsid w:val="00F81DD9"/>
    <w:rsid w:val="00F83609"/>
    <w:rsid w:val="00F84C28"/>
    <w:rsid w:val="00F86419"/>
    <w:rsid w:val="00F87504"/>
    <w:rsid w:val="00F87A32"/>
    <w:rsid w:val="00F87D0C"/>
    <w:rsid w:val="00F9097C"/>
    <w:rsid w:val="00F91C4D"/>
    <w:rsid w:val="00F91DDE"/>
    <w:rsid w:val="00F9205F"/>
    <w:rsid w:val="00F921C9"/>
    <w:rsid w:val="00F9272B"/>
    <w:rsid w:val="00F92FD9"/>
    <w:rsid w:val="00F93656"/>
    <w:rsid w:val="00F943E4"/>
    <w:rsid w:val="00F95356"/>
    <w:rsid w:val="00F953DA"/>
    <w:rsid w:val="00FA01E6"/>
    <w:rsid w:val="00FA102F"/>
    <w:rsid w:val="00FA16D7"/>
    <w:rsid w:val="00FA3A61"/>
    <w:rsid w:val="00FA40D7"/>
    <w:rsid w:val="00FA442D"/>
    <w:rsid w:val="00FA4F5F"/>
    <w:rsid w:val="00FA649D"/>
    <w:rsid w:val="00FA6684"/>
    <w:rsid w:val="00FA731E"/>
    <w:rsid w:val="00FA7C29"/>
    <w:rsid w:val="00FB1A71"/>
    <w:rsid w:val="00FB24E5"/>
    <w:rsid w:val="00FB2B38"/>
    <w:rsid w:val="00FB4824"/>
    <w:rsid w:val="00FB68DF"/>
    <w:rsid w:val="00FB6AB7"/>
    <w:rsid w:val="00FC05EB"/>
    <w:rsid w:val="00FC18FC"/>
    <w:rsid w:val="00FC1DF6"/>
    <w:rsid w:val="00FC244F"/>
    <w:rsid w:val="00FC6358"/>
    <w:rsid w:val="00FC689F"/>
    <w:rsid w:val="00FD00AE"/>
    <w:rsid w:val="00FD01CF"/>
    <w:rsid w:val="00FD024A"/>
    <w:rsid w:val="00FD218C"/>
    <w:rsid w:val="00FD320D"/>
    <w:rsid w:val="00FE23DE"/>
    <w:rsid w:val="00FE52E5"/>
    <w:rsid w:val="00FE6216"/>
    <w:rsid w:val="00FE67F9"/>
    <w:rsid w:val="00FE705C"/>
    <w:rsid w:val="00FE73A4"/>
    <w:rsid w:val="00FE76D4"/>
    <w:rsid w:val="00FF3DBB"/>
    <w:rsid w:val="00FF43EB"/>
    <w:rsid w:val="00FF55F0"/>
    <w:rsid w:val="00FF5DBC"/>
    <w:rsid w:val="00FF6099"/>
    <w:rsid w:val="00FF6A8A"/>
    <w:rsid w:val="00FF6A96"/>
    <w:rsid w:val="0532605E"/>
    <w:rsid w:val="05626C8E"/>
    <w:rsid w:val="075F28FD"/>
    <w:rsid w:val="0DDD537F"/>
    <w:rsid w:val="16F969DB"/>
    <w:rsid w:val="2C491D5B"/>
    <w:rsid w:val="2D5E0656"/>
    <w:rsid w:val="30951C86"/>
    <w:rsid w:val="3C756255"/>
    <w:rsid w:val="3DEB5E6F"/>
    <w:rsid w:val="4243481E"/>
    <w:rsid w:val="438364F6"/>
    <w:rsid w:val="58316DAD"/>
    <w:rsid w:val="59266E35"/>
    <w:rsid w:val="61530445"/>
    <w:rsid w:val="66E46243"/>
    <w:rsid w:val="68420133"/>
    <w:rsid w:val="7B3F7ABD"/>
    <w:rsid w:val="7CE04EC6"/>
    <w:rsid w:val="7F037D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name="endnote reference"/>
    <w:lsdException w:qFormat="1" w:unhideWhenUsed="0" w:uiPriority="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3"/>
    <w:qFormat/>
    <w:uiPriority w:val="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2"/>
    <w:basedOn w:val="1"/>
    <w:next w:val="1"/>
    <w:link w:val="147"/>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148"/>
    <w:semiHidden/>
    <w:unhideWhenUsed/>
    <w:qFormat/>
    <w:uiPriority w:val="0"/>
    <w:pPr>
      <w:keepNext/>
      <w:keepLines/>
      <w:spacing w:before="260" w:after="260" w:line="416" w:lineRule="auto"/>
      <w:outlineLvl w:val="2"/>
    </w:pPr>
    <w:rPr>
      <w:b/>
      <w:bCs/>
      <w:sz w:val="32"/>
      <w:szCs w:val="32"/>
    </w:rPr>
  </w:style>
  <w:style w:type="character" w:default="1" w:styleId="36">
    <w:name w:val="Default Paragraph Font"/>
    <w:semiHidden/>
    <w:unhideWhenUsed/>
    <w:uiPriority w:val="1"/>
  </w:style>
  <w:style w:type="table" w:default="1" w:styleId="34">
    <w:name w:val="Normal Table"/>
    <w:semiHidden/>
    <w:unhideWhenUsed/>
    <w:uiPriority w:val="99"/>
    <w:tblPr>
      <w:tblCellMar>
        <w:top w:w="0" w:type="dxa"/>
        <w:left w:w="108" w:type="dxa"/>
        <w:bottom w:w="0" w:type="dxa"/>
        <w:right w:w="108" w:type="dxa"/>
      </w:tblCellMar>
    </w:tblPr>
  </w:style>
  <w:style w:type="paragraph" w:styleId="5">
    <w:name w:val="toc 7"/>
    <w:basedOn w:val="1"/>
    <w:next w:val="1"/>
    <w:semiHidden/>
    <w:qFormat/>
    <w:uiPriority w:val="0"/>
    <w:pPr>
      <w:tabs>
        <w:tab w:val="right" w:leader="dot" w:pos="9241"/>
      </w:tabs>
      <w:ind w:firstLine="500" w:firstLineChars="500"/>
      <w:jc w:val="left"/>
    </w:pPr>
    <w:rPr>
      <w:rFonts w:ascii="宋体"/>
      <w:szCs w:val="21"/>
    </w:rPr>
  </w:style>
  <w:style w:type="paragraph" w:styleId="6">
    <w:name w:val="index 8"/>
    <w:basedOn w:val="1"/>
    <w:next w:val="1"/>
    <w:qFormat/>
    <w:uiPriority w:val="0"/>
    <w:pPr>
      <w:ind w:left="1680" w:hanging="210"/>
      <w:jc w:val="left"/>
    </w:pPr>
    <w:rPr>
      <w:rFonts w:ascii="Calibri" w:hAnsi="Calibri"/>
      <w:sz w:val="20"/>
      <w:szCs w:val="20"/>
    </w:rPr>
  </w:style>
  <w:style w:type="paragraph" w:styleId="7">
    <w:name w:val="caption"/>
    <w:basedOn w:val="1"/>
    <w:next w:val="1"/>
    <w:qFormat/>
    <w:uiPriority w:val="0"/>
    <w:pPr>
      <w:spacing w:before="152" w:after="160"/>
    </w:pPr>
    <w:rPr>
      <w:rFonts w:ascii="Arial" w:hAnsi="Arial" w:eastAsia="黑体" w:cs="Arial"/>
      <w:sz w:val="20"/>
      <w:szCs w:val="20"/>
    </w:rPr>
  </w:style>
  <w:style w:type="paragraph" w:styleId="8">
    <w:name w:val="index 5"/>
    <w:basedOn w:val="1"/>
    <w:next w:val="1"/>
    <w:qFormat/>
    <w:uiPriority w:val="0"/>
    <w:pPr>
      <w:ind w:left="1050" w:hanging="210"/>
      <w:jc w:val="left"/>
    </w:pPr>
    <w:rPr>
      <w:rFonts w:ascii="Calibri" w:hAnsi="Calibri"/>
      <w:sz w:val="20"/>
      <w:szCs w:val="20"/>
    </w:rPr>
  </w:style>
  <w:style w:type="paragraph" w:styleId="9">
    <w:name w:val="Document Map"/>
    <w:basedOn w:val="1"/>
    <w:semiHidden/>
    <w:qFormat/>
    <w:uiPriority w:val="0"/>
    <w:pPr>
      <w:shd w:val="clear" w:color="auto" w:fill="000080"/>
    </w:pPr>
  </w:style>
  <w:style w:type="paragraph" w:styleId="10">
    <w:name w:val="annotation text"/>
    <w:basedOn w:val="1"/>
    <w:link w:val="44"/>
    <w:qFormat/>
    <w:uiPriority w:val="0"/>
    <w:pPr>
      <w:jc w:val="left"/>
    </w:pPr>
  </w:style>
  <w:style w:type="paragraph" w:styleId="11">
    <w:name w:val="index 6"/>
    <w:basedOn w:val="1"/>
    <w:next w:val="1"/>
    <w:qFormat/>
    <w:uiPriority w:val="0"/>
    <w:pPr>
      <w:ind w:left="1260" w:hanging="210"/>
      <w:jc w:val="left"/>
    </w:pPr>
    <w:rPr>
      <w:rFonts w:ascii="Calibri" w:hAnsi="Calibri"/>
      <w:sz w:val="20"/>
      <w:szCs w:val="20"/>
    </w:rPr>
  </w:style>
  <w:style w:type="paragraph" w:styleId="12">
    <w:name w:val="index 4"/>
    <w:basedOn w:val="1"/>
    <w:next w:val="1"/>
    <w:qFormat/>
    <w:uiPriority w:val="0"/>
    <w:pPr>
      <w:ind w:left="840" w:hanging="210"/>
      <w:jc w:val="left"/>
    </w:pPr>
    <w:rPr>
      <w:rFonts w:ascii="Calibri" w:hAnsi="Calibri"/>
      <w:sz w:val="20"/>
      <w:szCs w:val="20"/>
    </w:rPr>
  </w:style>
  <w:style w:type="paragraph" w:styleId="13">
    <w:name w:val="toc 5"/>
    <w:basedOn w:val="1"/>
    <w:next w:val="1"/>
    <w:semiHidden/>
    <w:qFormat/>
    <w:uiPriority w:val="0"/>
    <w:pPr>
      <w:tabs>
        <w:tab w:val="right" w:leader="dot" w:pos="9241"/>
      </w:tabs>
      <w:ind w:firstLine="300" w:firstLineChars="300"/>
      <w:jc w:val="left"/>
    </w:pPr>
    <w:rPr>
      <w:rFonts w:ascii="宋体"/>
      <w:szCs w:val="21"/>
    </w:rPr>
  </w:style>
  <w:style w:type="paragraph" w:styleId="14">
    <w:name w:val="toc 3"/>
    <w:basedOn w:val="1"/>
    <w:next w:val="1"/>
    <w:uiPriority w:val="39"/>
    <w:pPr>
      <w:tabs>
        <w:tab w:val="right" w:leader="dot" w:pos="9241"/>
      </w:tabs>
      <w:ind w:firstLine="100" w:firstLineChars="100"/>
      <w:jc w:val="left"/>
    </w:pPr>
    <w:rPr>
      <w:rFonts w:ascii="宋体"/>
      <w:szCs w:val="21"/>
    </w:rPr>
  </w:style>
  <w:style w:type="paragraph" w:styleId="15">
    <w:name w:val="toc 8"/>
    <w:basedOn w:val="1"/>
    <w:next w:val="1"/>
    <w:semiHidden/>
    <w:qFormat/>
    <w:uiPriority w:val="0"/>
    <w:pPr>
      <w:tabs>
        <w:tab w:val="right" w:leader="dot" w:pos="9241"/>
      </w:tabs>
      <w:ind w:firstLine="607" w:firstLineChars="600"/>
      <w:jc w:val="left"/>
    </w:pPr>
    <w:rPr>
      <w:rFonts w:ascii="宋体"/>
      <w:szCs w:val="21"/>
    </w:rPr>
  </w:style>
  <w:style w:type="paragraph" w:styleId="16">
    <w:name w:val="index 3"/>
    <w:basedOn w:val="1"/>
    <w:next w:val="1"/>
    <w:qFormat/>
    <w:uiPriority w:val="0"/>
    <w:pPr>
      <w:ind w:left="630" w:hanging="210"/>
      <w:jc w:val="left"/>
    </w:pPr>
    <w:rPr>
      <w:rFonts w:ascii="Calibri" w:hAnsi="Calibri"/>
      <w:sz w:val="20"/>
      <w:szCs w:val="20"/>
    </w:rPr>
  </w:style>
  <w:style w:type="paragraph" w:styleId="17">
    <w:name w:val="endnote text"/>
    <w:basedOn w:val="1"/>
    <w:semiHidden/>
    <w:qFormat/>
    <w:uiPriority w:val="0"/>
    <w:pPr>
      <w:snapToGrid w:val="0"/>
      <w:jc w:val="left"/>
    </w:pPr>
  </w:style>
  <w:style w:type="paragraph" w:styleId="18">
    <w:name w:val="Balloon Text"/>
    <w:basedOn w:val="1"/>
    <w:link w:val="45"/>
    <w:qFormat/>
    <w:uiPriority w:val="0"/>
    <w:rPr>
      <w:sz w:val="18"/>
      <w:szCs w:val="18"/>
    </w:rPr>
  </w:style>
  <w:style w:type="paragraph" w:styleId="19">
    <w:name w:val="footer"/>
    <w:basedOn w:val="1"/>
    <w:qFormat/>
    <w:uiPriority w:val="0"/>
    <w:pPr>
      <w:snapToGrid w:val="0"/>
      <w:ind w:right="210" w:rightChars="100"/>
      <w:jc w:val="right"/>
    </w:pPr>
    <w:rPr>
      <w:sz w:val="18"/>
      <w:szCs w:val="18"/>
    </w:rPr>
  </w:style>
  <w:style w:type="paragraph" w:styleId="20">
    <w:name w:val="header"/>
    <w:basedOn w:val="1"/>
    <w:qFormat/>
    <w:uiPriority w:val="0"/>
    <w:pPr>
      <w:snapToGrid w:val="0"/>
      <w:jc w:val="left"/>
    </w:pPr>
    <w:rPr>
      <w:sz w:val="18"/>
      <w:szCs w:val="18"/>
    </w:rPr>
  </w:style>
  <w:style w:type="paragraph" w:styleId="21">
    <w:name w:val="toc 1"/>
    <w:basedOn w:val="1"/>
    <w:next w:val="1"/>
    <w:qFormat/>
    <w:uiPriority w:val="39"/>
    <w:pPr>
      <w:tabs>
        <w:tab w:val="right" w:leader="dot" w:pos="9242"/>
      </w:tabs>
      <w:spacing w:before="78" w:beforeLines="25" w:after="78" w:afterLines="25" w:line="480" w:lineRule="auto"/>
      <w:jc w:val="left"/>
    </w:pPr>
    <w:rPr>
      <w:rFonts w:ascii="宋体"/>
      <w:szCs w:val="21"/>
    </w:rPr>
  </w:style>
  <w:style w:type="paragraph" w:styleId="22">
    <w:name w:val="toc 4"/>
    <w:basedOn w:val="1"/>
    <w:next w:val="1"/>
    <w:semiHidden/>
    <w:qFormat/>
    <w:uiPriority w:val="0"/>
    <w:pPr>
      <w:tabs>
        <w:tab w:val="right" w:leader="dot" w:pos="9241"/>
      </w:tabs>
      <w:ind w:firstLine="200" w:firstLineChars="200"/>
      <w:jc w:val="left"/>
    </w:pPr>
    <w:rPr>
      <w:rFonts w:ascii="宋体"/>
      <w:szCs w:val="21"/>
    </w:rPr>
  </w:style>
  <w:style w:type="paragraph" w:styleId="23">
    <w:name w:val="index heading"/>
    <w:basedOn w:val="1"/>
    <w:next w:val="24"/>
    <w:qFormat/>
    <w:uiPriority w:val="0"/>
    <w:pPr>
      <w:spacing w:before="120" w:after="120"/>
      <w:jc w:val="center"/>
    </w:pPr>
    <w:rPr>
      <w:rFonts w:ascii="Calibri" w:hAnsi="Calibri"/>
      <w:b/>
      <w:bCs/>
      <w:iCs/>
      <w:szCs w:val="20"/>
    </w:rPr>
  </w:style>
  <w:style w:type="paragraph" w:styleId="24">
    <w:name w:val="index 1"/>
    <w:basedOn w:val="1"/>
    <w:next w:val="25"/>
    <w:qFormat/>
    <w:uiPriority w:val="0"/>
    <w:pPr>
      <w:tabs>
        <w:tab w:val="right" w:leader="dot" w:pos="9299"/>
      </w:tabs>
      <w:jc w:val="left"/>
    </w:pPr>
    <w:rPr>
      <w:rFonts w:ascii="宋体"/>
      <w:szCs w:val="21"/>
    </w:rPr>
  </w:style>
  <w:style w:type="paragraph" w:customStyle="1" w:styleId="25">
    <w:name w:val="段"/>
    <w:link w:val="46"/>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26">
    <w:name w:val="footnote text"/>
    <w:basedOn w:val="1"/>
    <w:qFormat/>
    <w:uiPriority w:val="0"/>
    <w:pPr>
      <w:numPr>
        <w:ilvl w:val="0"/>
        <w:numId w:val="1"/>
      </w:numPr>
      <w:snapToGrid w:val="0"/>
      <w:jc w:val="left"/>
    </w:pPr>
    <w:rPr>
      <w:rFonts w:ascii="宋体"/>
      <w:sz w:val="18"/>
      <w:szCs w:val="18"/>
    </w:rPr>
  </w:style>
  <w:style w:type="paragraph" w:styleId="27">
    <w:name w:val="toc 6"/>
    <w:basedOn w:val="1"/>
    <w:next w:val="1"/>
    <w:semiHidden/>
    <w:qFormat/>
    <w:uiPriority w:val="0"/>
    <w:pPr>
      <w:tabs>
        <w:tab w:val="right" w:leader="dot" w:pos="9241"/>
      </w:tabs>
      <w:ind w:firstLine="400" w:firstLineChars="400"/>
      <w:jc w:val="left"/>
    </w:pPr>
    <w:rPr>
      <w:rFonts w:ascii="宋体"/>
      <w:szCs w:val="21"/>
    </w:rPr>
  </w:style>
  <w:style w:type="paragraph" w:styleId="28">
    <w:name w:val="index 7"/>
    <w:basedOn w:val="1"/>
    <w:next w:val="1"/>
    <w:qFormat/>
    <w:uiPriority w:val="0"/>
    <w:pPr>
      <w:ind w:left="1470" w:hanging="210"/>
      <w:jc w:val="left"/>
    </w:pPr>
    <w:rPr>
      <w:rFonts w:ascii="Calibri" w:hAnsi="Calibri"/>
      <w:sz w:val="20"/>
      <w:szCs w:val="20"/>
    </w:rPr>
  </w:style>
  <w:style w:type="paragraph" w:styleId="29">
    <w:name w:val="index 9"/>
    <w:basedOn w:val="1"/>
    <w:next w:val="1"/>
    <w:qFormat/>
    <w:uiPriority w:val="0"/>
    <w:pPr>
      <w:ind w:left="1890" w:hanging="210"/>
      <w:jc w:val="left"/>
    </w:pPr>
    <w:rPr>
      <w:rFonts w:ascii="Calibri" w:hAnsi="Calibri"/>
      <w:sz w:val="20"/>
      <w:szCs w:val="20"/>
    </w:rPr>
  </w:style>
  <w:style w:type="paragraph" w:styleId="30">
    <w:name w:val="toc 2"/>
    <w:basedOn w:val="1"/>
    <w:next w:val="1"/>
    <w:qFormat/>
    <w:uiPriority w:val="39"/>
    <w:pPr>
      <w:tabs>
        <w:tab w:val="right" w:leader="dot" w:pos="9242"/>
      </w:tabs>
    </w:pPr>
    <w:rPr>
      <w:rFonts w:ascii="宋体"/>
      <w:szCs w:val="21"/>
    </w:rPr>
  </w:style>
  <w:style w:type="paragraph" w:styleId="31">
    <w:name w:val="toc 9"/>
    <w:basedOn w:val="1"/>
    <w:next w:val="1"/>
    <w:semiHidden/>
    <w:qFormat/>
    <w:uiPriority w:val="0"/>
    <w:pPr>
      <w:ind w:left="1470"/>
      <w:jc w:val="left"/>
    </w:pPr>
    <w:rPr>
      <w:sz w:val="20"/>
      <w:szCs w:val="20"/>
    </w:rPr>
  </w:style>
  <w:style w:type="paragraph" w:styleId="32">
    <w:name w:val="index 2"/>
    <w:basedOn w:val="1"/>
    <w:next w:val="1"/>
    <w:qFormat/>
    <w:uiPriority w:val="0"/>
    <w:pPr>
      <w:ind w:left="420" w:hanging="210"/>
      <w:jc w:val="left"/>
    </w:pPr>
    <w:rPr>
      <w:rFonts w:ascii="Calibri" w:hAnsi="Calibri"/>
      <w:sz w:val="20"/>
      <w:szCs w:val="20"/>
    </w:rPr>
  </w:style>
  <w:style w:type="paragraph" w:styleId="33">
    <w:name w:val="annotation subject"/>
    <w:basedOn w:val="10"/>
    <w:next w:val="10"/>
    <w:link w:val="47"/>
    <w:qFormat/>
    <w:uiPriority w:val="0"/>
    <w:rPr>
      <w:b/>
      <w:bCs/>
    </w:rPr>
  </w:style>
  <w:style w:type="table" w:styleId="35">
    <w:name w:val="Table Grid"/>
    <w:basedOn w:val="34"/>
    <w:qFormat/>
    <w:uiPriority w:val="59"/>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37">
    <w:name w:val="endnote reference"/>
    <w:semiHidden/>
    <w:qFormat/>
    <w:uiPriority w:val="0"/>
    <w:rPr>
      <w:vertAlign w:val="superscript"/>
    </w:rPr>
  </w:style>
  <w:style w:type="character" w:styleId="38">
    <w:name w:val="page number"/>
    <w:qFormat/>
    <w:uiPriority w:val="0"/>
    <w:rPr>
      <w:rFonts w:ascii="Times New Roman" w:hAnsi="Times New Roman" w:eastAsia="宋体"/>
      <w:sz w:val="18"/>
    </w:rPr>
  </w:style>
  <w:style w:type="character" w:styleId="39">
    <w:name w:val="FollowedHyperlink"/>
    <w:qFormat/>
    <w:uiPriority w:val="0"/>
    <w:rPr>
      <w:color w:val="800080"/>
      <w:u w:val="single"/>
    </w:rPr>
  </w:style>
  <w:style w:type="character" w:styleId="40">
    <w:name w:val="Hyperlink"/>
    <w:qFormat/>
    <w:uiPriority w:val="99"/>
    <w:rPr>
      <w:color w:val="0000FF"/>
      <w:spacing w:val="0"/>
      <w:w w:val="100"/>
      <w:szCs w:val="21"/>
      <w:u w:val="single"/>
      <w:lang w:val="en-US" w:eastAsia="zh-CN"/>
    </w:rPr>
  </w:style>
  <w:style w:type="character" w:styleId="41">
    <w:name w:val="annotation reference"/>
    <w:qFormat/>
    <w:uiPriority w:val="0"/>
    <w:rPr>
      <w:sz w:val="21"/>
      <w:szCs w:val="21"/>
    </w:rPr>
  </w:style>
  <w:style w:type="character" w:styleId="42">
    <w:name w:val="footnote reference"/>
    <w:semiHidden/>
    <w:qFormat/>
    <w:uiPriority w:val="0"/>
    <w:rPr>
      <w:vertAlign w:val="superscript"/>
    </w:rPr>
  </w:style>
  <w:style w:type="character" w:customStyle="1" w:styleId="43">
    <w:name w:val="标题 1 字符"/>
    <w:link w:val="2"/>
    <w:qFormat/>
    <w:uiPriority w:val="9"/>
    <w:rPr>
      <w:rFonts w:ascii="宋体" w:hAnsi="宋体" w:cs="宋体"/>
      <w:b/>
      <w:bCs/>
      <w:kern w:val="36"/>
      <w:sz w:val="48"/>
      <w:szCs w:val="48"/>
    </w:rPr>
  </w:style>
  <w:style w:type="character" w:customStyle="1" w:styleId="44">
    <w:name w:val="批注文字 字符"/>
    <w:link w:val="10"/>
    <w:qFormat/>
    <w:uiPriority w:val="0"/>
    <w:rPr>
      <w:kern w:val="2"/>
      <w:sz w:val="21"/>
      <w:szCs w:val="24"/>
    </w:rPr>
  </w:style>
  <w:style w:type="character" w:customStyle="1" w:styleId="45">
    <w:name w:val="批注框文本 字符"/>
    <w:link w:val="18"/>
    <w:qFormat/>
    <w:uiPriority w:val="0"/>
    <w:rPr>
      <w:kern w:val="2"/>
      <w:sz w:val="18"/>
      <w:szCs w:val="18"/>
    </w:rPr>
  </w:style>
  <w:style w:type="character" w:customStyle="1" w:styleId="46">
    <w:name w:val="段 Char"/>
    <w:link w:val="25"/>
    <w:qFormat/>
    <w:uiPriority w:val="0"/>
    <w:rPr>
      <w:rFonts w:ascii="宋体"/>
      <w:sz w:val="21"/>
      <w:lang w:val="en-US" w:eastAsia="zh-CN" w:bidi="ar-SA"/>
    </w:rPr>
  </w:style>
  <w:style w:type="character" w:customStyle="1" w:styleId="47">
    <w:name w:val="批注主题 字符"/>
    <w:link w:val="33"/>
    <w:qFormat/>
    <w:uiPriority w:val="0"/>
    <w:rPr>
      <w:b/>
      <w:bCs/>
      <w:kern w:val="2"/>
      <w:sz w:val="21"/>
      <w:szCs w:val="24"/>
    </w:rPr>
  </w:style>
  <w:style w:type="paragraph" w:customStyle="1" w:styleId="48">
    <w:name w:val="一级条标题"/>
    <w:next w:val="25"/>
    <w:qFormat/>
    <w:uiPriority w:val="0"/>
    <w:p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49">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50">
    <w:name w:val="标准书眉_奇数页"/>
    <w:next w:val="1"/>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51">
    <w:name w:val="章标题"/>
    <w:next w:val="25"/>
    <w:qFormat/>
    <w:uiPriority w:val="0"/>
    <w:pPr>
      <w:numPr>
        <w:ilvl w:val="0"/>
        <w:numId w:val="2"/>
      </w:numPr>
      <w:spacing w:before="312" w:beforeLines="100" w:after="312" w:afterLines="100"/>
      <w:ind w:left="0"/>
      <w:jc w:val="both"/>
      <w:outlineLvl w:val="1"/>
    </w:pPr>
    <w:rPr>
      <w:rFonts w:ascii="黑体" w:hAnsi="Times New Roman" w:eastAsia="黑体" w:cs="Times New Roman"/>
      <w:sz w:val="21"/>
      <w:lang w:val="en-US" w:eastAsia="zh-CN" w:bidi="ar-SA"/>
    </w:rPr>
  </w:style>
  <w:style w:type="paragraph" w:customStyle="1" w:styleId="52">
    <w:name w:val="二级条标题"/>
    <w:basedOn w:val="48"/>
    <w:next w:val="25"/>
    <w:qFormat/>
    <w:uiPriority w:val="0"/>
    <w:pPr>
      <w:numPr>
        <w:ilvl w:val="2"/>
        <w:numId w:val="2"/>
      </w:numPr>
      <w:spacing w:before="50" w:after="50"/>
      <w:outlineLvl w:val="3"/>
    </w:pPr>
  </w:style>
  <w:style w:type="paragraph" w:customStyle="1" w:styleId="53">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54">
    <w:name w:val="列项——（一级）"/>
    <w:qFormat/>
    <w:uiPriority w:val="0"/>
    <w:pPr>
      <w:widowControl w:val="0"/>
      <w:numPr>
        <w:ilvl w:val="0"/>
        <w:numId w:val="3"/>
      </w:numPr>
      <w:jc w:val="both"/>
    </w:pPr>
    <w:rPr>
      <w:rFonts w:ascii="宋体" w:hAnsi="Times New Roman" w:eastAsia="宋体" w:cs="Times New Roman"/>
      <w:sz w:val="21"/>
      <w:lang w:val="en-US" w:eastAsia="zh-CN" w:bidi="ar-SA"/>
    </w:rPr>
  </w:style>
  <w:style w:type="paragraph" w:customStyle="1" w:styleId="55">
    <w:name w:val="列项●（二级）"/>
    <w:qFormat/>
    <w:uiPriority w:val="0"/>
    <w:pPr>
      <w:numPr>
        <w:ilvl w:val="1"/>
        <w:numId w:val="3"/>
      </w:numPr>
      <w:tabs>
        <w:tab w:val="left" w:pos="840"/>
      </w:tabs>
      <w:jc w:val="both"/>
    </w:pPr>
    <w:rPr>
      <w:rFonts w:ascii="宋体" w:hAnsi="Times New Roman" w:eastAsia="宋体" w:cs="Times New Roman"/>
      <w:sz w:val="21"/>
      <w:lang w:val="en-US" w:eastAsia="zh-CN" w:bidi="ar-SA"/>
    </w:rPr>
  </w:style>
  <w:style w:type="paragraph" w:customStyle="1" w:styleId="56">
    <w:name w:val="目次、标准名称标题"/>
    <w:basedOn w:val="1"/>
    <w:next w:val="25"/>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57">
    <w:name w:val="三级条标题"/>
    <w:basedOn w:val="52"/>
    <w:next w:val="25"/>
    <w:qFormat/>
    <w:uiPriority w:val="0"/>
    <w:pPr>
      <w:numPr>
        <w:ilvl w:val="0"/>
        <w:numId w:val="0"/>
      </w:numPr>
      <w:outlineLvl w:val="4"/>
    </w:pPr>
  </w:style>
  <w:style w:type="paragraph" w:customStyle="1" w:styleId="58">
    <w:name w:val="示例"/>
    <w:next w:val="59"/>
    <w:uiPriority w:val="0"/>
    <w:pPr>
      <w:widowControl w:val="0"/>
      <w:numPr>
        <w:ilvl w:val="0"/>
        <w:numId w:val="4"/>
      </w:numPr>
      <w:jc w:val="both"/>
    </w:pPr>
    <w:rPr>
      <w:rFonts w:ascii="宋体" w:hAnsi="Times New Roman" w:eastAsia="宋体" w:cs="Times New Roman"/>
      <w:sz w:val="18"/>
      <w:szCs w:val="18"/>
      <w:lang w:val="en-US" w:eastAsia="zh-CN" w:bidi="ar-SA"/>
    </w:rPr>
  </w:style>
  <w:style w:type="paragraph" w:customStyle="1" w:styleId="59">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60">
    <w:name w:val="数字编号列项（二级）"/>
    <w:qFormat/>
    <w:uiPriority w:val="0"/>
    <w:pPr>
      <w:numPr>
        <w:ilvl w:val="1"/>
        <w:numId w:val="5"/>
      </w:numPr>
      <w:jc w:val="both"/>
    </w:pPr>
    <w:rPr>
      <w:rFonts w:ascii="宋体" w:hAnsi="Times New Roman" w:eastAsia="宋体" w:cs="Times New Roman"/>
      <w:sz w:val="21"/>
      <w:lang w:val="en-US" w:eastAsia="zh-CN" w:bidi="ar-SA"/>
    </w:rPr>
  </w:style>
  <w:style w:type="paragraph" w:customStyle="1" w:styleId="61">
    <w:name w:val="四级条标题"/>
    <w:basedOn w:val="57"/>
    <w:next w:val="25"/>
    <w:uiPriority w:val="0"/>
    <w:pPr>
      <w:numPr>
        <w:ilvl w:val="4"/>
        <w:numId w:val="2"/>
      </w:numPr>
      <w:outlineLvl w:val="5"/>
    </w:pPr>
  </w:style>
  <w:style w:type="paragraph" w:customStyle="1" w:styleId="62">
    <w:name w:val="五级条标题"/>
    <w:basedOn w:val="61"/>
    <w:next w:val="25"/>
    <w:qFormat/>
    <w:uiPriority w:val="0"/>
    <w:pPr>
      <w:numPr>
        <w:ilvl w:val="5"/>
      </w:numPr>
      <w:outlineLvl w:val="6"/>
    </w:pPr>
  </w:style>
  <w:style w:type="paragraph" w:customStyle="1" w:styleId="63">
    <w:name w:val="注："/>
    <w:next w:val="25"/>
    <w:qFormat/>
    <w:uiPriority w:val="0"/>
    <w:pPr>
      <w:widowControl w:val="0"/>
      <w:numPr>
        <w:ilvl w:val="0"/>
        <w:numId w:val="6"/>
      </w:numPr>
      <w:autoSpaceDE w:val="0"/>
      <w:autoSpaceDN w:val="0"/>
      <w:jc w:val="both"/>
    </w:pPr>
    <w:rPr>
      <w:rFonts w:ascii="宋体" w:hAnsi="Times New Roman" w:eastAsia="宋体" w:cs="Times New Roman"/>
      <w:sz w:val="18"/>
      <w:szCs w:val="18"/>
      <w:lang w:val="en-US" w:eastAsia="zh-CN" w:bidi="ar-SA"/>
    </w:rPr>
  </w:style>
  <w:style w:type="paragraph" w:customStyle="1" w:styleId="64">
    <w:name w:val="注×："/>
    <w:qFormat/>
    <w:uiPriority w:val="0"/>
    <w:pPr>
      <w:widowControl w:val="0"/>
      <w:numPr>
        <w:ilvl w:val="0"/>
        <w:numId w:val="7"/>
      </w:numPr>
      <w:autoSpaceDE w:val="0"/>
      <w:autoSpaceDN w:val="0"/>
      <w:jc w:val="both"/>
    </w:pPr>
    <w:rPr>
      <w:rFonts w:ascii="宋体" w:hAnsi="Times New Roman" w:eastAsia="宋体" w:cs="Times New Roman"/>
      <w:sz w:val="18"/>
      <w:szCs w:val="18"/>
      <w:lang w:val="en-US" w:eastAsia="zh-CN" w:bidi="ar-SA"/>
    </w:rPr>
  </w:style>
  <w:style w:type="paragraph" w:customStyle="1" w:styleId="65">
    <w:name w:val="字母编号列项（一级）"/>
    <w:qFormat/>
    <w:uiPriority w:val="0"/>
    <w:pPr>
      <w:numPr>
        <w:ilvl w:val="0"/>
        <w:numId w:val="5"/>
      </w:numPr>
      <w:jc w:val="both"/>
    </w:pPr>
    <w:rPr>
      <w:rFonts w:ascii="宋体" w:hAnsi="Times New Roman" w:eastAsia="宋体" w:cs="Times New Roman"/>
      <w:sz w:val="21"/>
      <w:lang w:val="en-US" w:eastAsia="zh-CN" w:bidi="ar-SA"/>
    </w:rPr>
  </w:style>
  <w:style w:type="paragraph" w:customStyle="1" w:styleId="66">
    <w:name w:val="列项◆（三级）"/>
    <w:basedOn w:val="1"/>
    <w:qFormat/>
    <w:uiPriority w:val="0"/>
    <w:pPr>
      <w:numPr>
        <w:ilvl w:val="2"/>
        <w:numId w:val="3"/>
      </w:numPr>
    </w:pPr>
    <w:rPr>
      <w:rFonts w:ascii="宋体"/>
      <w:szCs w:val="21"/>
    </w:rPr>
  </w:style>
  <w:style w:type="paragraph" w:customStyle="1" w:styleId="67">
    <w:name w:val="编号列项（三级）"/>
    <w:qFormat/>
    <w:uiPriority w:val="0"/>
    <w:rPr>
      <w:rFonts w:ascii="宋体" w:hAnsi="Times New Roman" w:eastAsia="宋体" w:cs="Times New Roman"/>
      <w:sz w:val="21"/>
      <w:lang w:val="en-US" w:eastAsia="zh-CN" w:bidi="ar-SA"/>
    </w:rPr>
  </w:style>
  <w:style w:type="paragraph" w:customStyle="1" w:styleId="68">
    <w:name w:val="示例×："/>
    <w:basedOn w:val="51"/>
    <w:qFormat/>
    <w:uiPriority w:val="0"/>
    <w:pPr>
      <w:numPr>
        <w:numId w:val="8"/>
      </w:numPr>
      <w:spacing w:before="0" w:beforeLines="0" w:after="0" w:afterLines="0"/>
      <w:outlineLvl w:val="9"/>
    </w:pPr>
    <w:rPr>
      <w:rFonts w:ascii="宋体" w:eastAsia="宋体"/>
      <w:sz w:val="18"/>
      <w:szCs w:val="18"/>
    </w:rPr>
  </w:style>
  <w:style w:type="paragraph" w:customStyle="1" w:styleId="69">
    <w:name w:val="二级无"/>
    <w:basedOn w:val="52"/>
    <w:qFormat/>
    <w:uiPriority w:val="0"/>
    <w:pPr>
      <w:spacing w:before="0" w:beforeLines="0" w:after="0" w:afterLines="0"/>
    </w:pPr>
    <w:rPr>
      <w:rFonts w:ascii="宋体" w:eastAsia="宋体"/>
    </w:rPr>
  </w:style>
  <w:style w:type="paragraph" w:customStyle="1" w:styleId="70">
    <w:name w:val="注：（正文）"/>
    <w:basedOn w:val="63"/>
    <w:next w:val="25"/>
    <w:qFormat/>
    <w:uiPriority w:val="0"/>
    <w:pPr>
      <w:numPr>
        <w:ilvl w:val="0"/>
        <w:numId w:val="9"/>
      </w:numPr>
    </w:pPr>
  </w:style>
  <w:style w:type="paragraph" w:customStyle="1" w:styleId="71">
    <w:name w:val="注×：（正文）"/>
    <w:qFormat/>
    <w:uiPriority w:val="0"/>
    <w:pPr>
      <w:numPr>
        <w:ilvl w:val="0"/>
        <w:numId w:val="10"/>
      </w:numPr>
      <w:jc w:val="both"/>
    </w:pPr>
    <w:rPr>
      <w:rFonts w:ascii="宋体" w:hAnsi="Times New Roman" w:eastAsia="宋体" w:cs="Times New Roman"/>
      <w:sz w:val="18"/>
      <w:szCs w:val="18"/>
      <w:lang w:val="en-US" w:eastAsia="zh-CN" w:bidi="ar-SA"/>
    </w:rPr>
  </w:style>
  <w:style w:type="paragraph" w:customStyle="1" w:styleId="72">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73">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74">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75">
    <w:name w:val="标准书眉_偶数页"/>
    <w:basedOn w:val="50"/>
    <w:next w:val="1"/>
    <w:qFormat/>
    <w:uiPriority w:val="0"/>
    <w:pPr>
      <w:jc w:val="left"/>
    </w:pPr>
  </w:style>
  <w:style w:type="paragraph" w:customStyle="1" w:styleId="76">
    <w:name w:val="标准书眉一"/>
    <w:qFormat/>
    <w:uiPriority w:val="0"/>
    <w:pPr>
      <w:jc w:val="both"/>
    </w:pPr>
    <w:rPr>
      <w:rFonts w:ascii="Times New Roman" w:hAnsi="Times New Roman" w:eastAsia="宋体" w:cs="Times New Roman"/>
      <w:lang w:val="en-US" w:eastAsia="zh-CN" w:bidi="ar-SA"/>
    </w:rPr>
  </w:style>
  <w:style w:type="paragraph" w:customStyle="1" w:styleId="77">
    <w:name w:val="参考文献"/>
    <w:basedOn w:val="1"/>
    <w:next w:val="25"/>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78">
    <w:name w:val="参考文献、索引标题"/>
    <w:basedOn w:val="1"/>
    <w:next w:val="25"/>
    <w:qFormat/>
    <w:uiPriority w:val="0"/>
    <w:pPr>
      <w:keepNext/>
      <w:pageBreakBefore/>
      <w:widowControl/>
      <w:shd w:val="clear" w:color="FFFFFF" w:fill="FFFFFF"/>
      <w:spacing w:before="640" w:after="200"/>
      <w:jc w:val="center"/>
      <w:outlineLvl w:val="0"/>
    </w:pPr>
    <w:rPr>
      <w:rFonts w:ascii="黑体" w:eastAsia="黑体"/>
      <w:kern w:val="0"/>
      <w:szCs w:val="20"/>
    </w:rPr>
  </w:style>
  <w:style w:type="character" w:customStyle="1" w:styleId="79">
    <w:name w:val="发布"/>
    <w:uiPriority w:val="0"/>
    <w:rPr>
      <w:rFonts w:ascii="黑体" w:eastAsia="黑体"/>
      <w:spacing w:val="85"/>
      <w:w w:val="100"/>
      <w:position w:val="3"/>
      <w:sz w:val="28"/>
      <w:szCs w:val="28"/>
    </w:rPr>
  </w:style>
  <w:style w:type="paragraph" w:customStyle="1" w:styleId="80">
    <w:name w:val="发布部门"/>
    <w:next w:val="25"/>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81">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82">
    <w:name w:val="封面标准代替信息"/>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83">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84">
    <w:name w:val="封面标准名称"/>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85">
    <w:name w:val="封面标准英文名称"/>
    <w:basedOn w:val="84"/>
    <w:qFormat/>
    <w:uiPriority w:val="0"/>
    <w:pPr>
      <w:framePr w:wrap="around"/>
      <w:spacing w:before="370" w:line="400" w:lineRule="exact"/>
    </w:pPr>
    <w:rPr>
      <w:rFonts w:ascii="Times New Roman"/>
      <w:sz w:val="28"/>
      <w:szCs w:val="28"/>
    </w:rPr>
  </w:style>
  <w:style w:type="paragraph" w:customStyle="1" w:styleId="86">
    <w:name w:val="封面一致性程度标识"/>
    <w:basedOn w:val="85"/>
    <w:qFormat/>
    <w:uiPriority w:val="0"/>
    <w:pPr>
      <w:framePr w:wrap="around"/>
      <w:spacing w:before="440"/>
    </w:pPr>
    <w:rPr>
      <w:rFonts w:ascii="宋体" w:eastAsia="宋体"/>
    </w:rPr>
  </w:style>
  <w:style w:type="paragraph" w:customStyle="1" w:styleId="87">
    <w:name w:val="封面标准文稿类别"/>
    <w:basedOn w:val="86"/>
    <w:uiPriority w:val="0"/>
    <w:pPr>
      <w:framePr w:wrap="around"/>
      <w:spacing w:after="160" w:line="240" w:lineRule="auto"/>
    </w:pPr>
    <w:rPr>
      <w:sz w:val="24"/>
    </w:rPr>
  </w:style>
  <w:style w:type="paragraph" w:customStyle="1" w:styleId="88">
    <w:name w:val="封面标准文稿编辑信息"/>
    <w:basedOn w:val="87"/>
    <w:qFormat/>
    <w:uiPriority w:val="0"/>
    <w:pPr>
      <w:framePr w:wrap="around"/>
      <w:spacing w:before="180" w:line="180" w:lineRule="exact"/>
    </w:pPr>
    <w:rPr>
      <w:sz w:val="21"/>
    </w:rPr>
  </w:style>
  <w:style w:type="paragraph" w:customStyle="1" w:styleId="89">
    <w:name w:val="封面正文"/>
    <w:qFormat/>
    <w:uiPriority w:val="0"/>
    <w:pPr>
      <w:jc w:val="both"/>
    </w:pPr>
    <w:rPr>
      <w:rFonts w:ascii="Times New Roman" w:hAnsi="Times New Roman" w:eastAsia="宋体" w:cs="Times New Roman"/>
      <w:lang w:val="en-US" w:eastAsia="zh-CN" w:bidi="ar-SA"/>
    </w:rPr>
  </w:style>
  <w:style w:type="paragraph" w:customStyle="1" w:styleId="90">
    <w:name w:val="附录标识"/>
    <w:basedOn w:val="1"/>
    <w:next w:val="25"/>
    <w:qFormat/>
    <w:uiPriority w:val="0"/>
    <w:pPr>
      <w:keepNext/>
      <w:widowControl/>
      <w:numPr>
        <w:ilvl w:val="0"/>
        <w:numId w:val="11"/>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91">
    <w:name w:val="附录标题"/>
    <w:basedOn w:val="25"/>
    <w:next w:val="25"/>
    <w:qFormat/>
    <w:uiPriority w:val="0"/>
    <w:pPr>
      <w:ind w:firstLine="0" w:firstLineChars="0"/>
      <w:jc w:val="center"/>
    </w:pPr>
    <w:rPr>
      <w:rFonts w:ascii="黑体" w:eastAsia="黑体"/>
    </w:rPr>
  </w:style>
  <w:style w:type="paragraph" w:customStyle="1" w:styleId="92">
    <w:name w:val="附录表标号"/>
    <w:basedOn w:val="1"/>
    <w:next w:val="25"/>
    <w:qFormat/>
    <w:uiPriority w:val="0"/>
    <w:pPr>
      <w:numPr>
        <w:ilvl w:val="0"/>
        <w:numId w:val="12"/>
      </w:numPr>
      <w:tabs>
        <w:tab w:val="clear" w:pos="0"/>
      </w:tabs>
      <w:spacing w:line="14" w:lineRule="exact"/>
      <w:ind w:left="811" w:hanging="448"/>
      <w:jc w:val="center"/>
      <w:outlineLvl w:val="0"/>
    </w:pPr>
    <w:rPr>
      <w:color w:val="FFFFFF"/>
    </w:rPr>
  </w:style>
  <w:style w:type="paragraph" w:customStyle="1" w:styleId="93">
    <w:name w:val="附录表标题"/>
    <w:basedOn w:val="1"/>
    <w:next w:val="25"/>
    <w:qFormat/>
    <w:uiPriority w:val="0"/>
    <w:pPr>
      <w:numPr>
        <w:ilvl w:val="1"/>
        <w:numId w:val="12"/>
      </w:numPr>
      <w:tabs>
        <w:tab w:val="left" w:pos="180"/>
      </w:tabs>
      <w:spacing w:before="50" w:beforeLines="50" w:after="50" w:afterLines="50"/>
      <w:ind w:left="0" w:firstLine="0"/>
      <w:jc w:val="center"/>
    </w:pPr>
    <w:rPr>
      <w:rFonts w:ascii="黑体" w:eastAsia="黑体"/>
      <w:szCs w:val="21"/>
    </w:rPr>
  </w:style>
  <w:style w:type="paragraph" w:customStyle="1" w:styleId="94">
    <w:name w:val="附录二级条标题"/>
    <w:basedOn w:val="1"/>
    <w:next w:val="25"/>
    <w:qFormat/>
    <w:uiPriority w:val="0"/>
    <w:pPr>
      <w:widowControl/>
      <w:numPr>
        <w:ilvl w:val="3"/>
        <w:numId w:val="11"/>
      </w:numPr>
      <w:tabs>
        <w:tab w:val="left" w:pos="360"/>
      </w:tabs>
      <w:wordWrap w:val="0"/>
      <w:overflowPunct w:val="0"/>
      <w:autoSpaceDE w:val="0"/>
      <w:autoSpaceDN w:val="0"/>
      <w:spacing w:before="50" w:beforeLines="50" w:after="50" w:afterLines="50"/>
      <w:textAlignment w:val="baseline"/>
      <w:outlineLvl w:val="3"/>
    </w:pPr>
    <w:rPr>
      <w:rFonts w:ascii="黑体" w:eastAsia="黑体"/>
      <w:kern w:val="21"/>
      <w:szCs w:val="20"/>
    </w:rPr>
  </w:style>
  <w:style w:type="paragraph" w:customStyle="1" w:styleId="95">
    <w:name w:val="附录二级无"/>
    <w:basedOn w:val="94"/>
    <w:qFormat/>
    <w:uiPriority w:val="0"/>
    <w:pPr>
      <w:tabs>
        <w:tab w:val="clear" w:pos="360"/>
      </w:tabs>
      <w:spacing w:before="0" w:beforeLines="0" w:after="0" w:afterLines="0"/>
    </w:pPr>
    <w:rPr>
      <w:rFonts w:ascii="宋体" w:eastAsia="宋体"/>
      <w:szCs w:val="21"/>
    </w:rPr>
  </w:style>
  <w:style w:type="paragraph" w:customStyle="1" w:styleId="96">
    <w:name w:val="附录公式"/>
    <w:basedOn w:val="25"/>
    <w:next w:val="25"/>
    <w:link w:val="97"/>
    <w:qFormat/>
    <w:uiPriority w:val="0"/>
  </w:style>
  <w:style w:type="character" w:customStyle="1" w:styleId="97">
    <w:name w:val="附录公式 Char"/>
    <w:link w:val="96"/>
    <w:qFormat/>
    <w:uiPriority w:val="0"/>
    <w:rPr>
      <w:lang w:val="en-US" w:eastAsia="zh-CN" w:bidi="ar-SA"/>
    </w:rPr>
  </w:style>
  <w:style w:type="paragraph" w:customStyle="1" w:styleId="98">
    <w:name w:val="附录公式编号制表符"/>
    <w:basedOn w:val="1"/>
    <w:next w:val="25"/>
    <w:qFormat/>
    <w:uiPriority w:val="0"/>
    <w:pPr>
      <w:widowControl/>
      <w:tabs>
        <w:tab w:val="center" w:pos="4201"/>
        <w:tab w:val="right" w:leader="dot" w:pos="9298"/>
      </w:tabs>
      <w:autoSpaceDE w:val="0"/>
      <w:autoSpaceDN w:val="0"/>
    </w:pPr>
    <w:rPr>
      <w:rFonts w:ascii="宋体"/>
      <w:kern w:val="0"/>
      <w:szCs w:val="20"/>
    </w:rPr>
  </w:style>
  <w:style w:type="paragraph" w:customStyle="1" w:styleId="99">
    <w:name w:val="附录三级条标题"/>
    <w:basedOn w:val="94"/>
    <w:next w:val="25"/>
    <w:qFormat/>
    <w:uiPriority w:val="0"/>
    <w:pPr>
      <w:numPr>
        <w:ilvl w:val="4"/>
      </w:numPr>
      <w:outlineLvl w:val="4"/>
    </w:pPr>
  </w:style>
  <w:style w:type="paragraph" w:customStyle="1" w:styleId="100">
    <w:name w:val="附录三级无"/>
    <w:basedOn w:val="99"/>
    <w:qFormat/>
    <w:uiPriority w:val="0"/>
    <w:pPr>
      <w:tabs>
        <w:tab w:val="clear" w:pos="360"/>
      </w:tabs>
      <w:spacing w:before="0" w:beforeLines="0" w:after="0" w:afterLines="0"/>
    </w:pPr>
    <w:rPr>
      <w:rFonts w:ascii="宋体" w:eastAsia="宋体"/>
      <w:szCs w:val="21"/>
    </w:rPr>
  </w:style>
  <w:style w:type="paragraph" w:customStyle="1" w:styleId="101">
    <w:name w:val="附录数字编号列项（二级）"/>
    <w:qFormat/>
    <w:uiPriority w:val="0"/>
    <w:pPr>
      <w:numPr>
        <w:ilvl w:val="1"/>
        <w:numId w:val="13"/>
      </w:numPr>
    </w:pPr>
    <w:rPr>
      <w:rFonts w:ascii="宋体" w:hAnsi="Times New Roman" w:eastAsia="宋体" w:cs="Times New Roman"/>
      <w:sz w:val="21"/>
      <w:lang w:val="en-US" w:eastAsia="zh-CN" w:bidi="ar-SA"/>
    </w:rPr>
  </w:style>
  <w:style w:type="paragraph" w:customStyle="1" w:styleId="102">
    <w:name w:val="附录四级条标题"/>
    <w:basedOn w:val="99"/>
    <w:next w:val="25"/>
    <w:qFormat/>
    <w:uiPriority w:val="0"/>
    <w:pPr>
      <w:numPr>
        <w:ilvl w:val="5"/>
      </w:numPr>
      <w:outlineLvl w:val="5"/>
    </w:pPr>
  </w:style>
  <w:style w:type="paragraph" w:customStyle="1" w:styleId="103">
    <w:name w:val="附录四级无"/>
    <w:basedOn w:val="102"/>
    <w:qFormat/>
    <w:uiPriority w:val="0"/>
    <w:pPr>
      <w:tabs>
        <w:tab w:val="clear" w:pos="360"/>
      </w:tabs>
      <w:spacing w:before="0" w:beforeLines="0" w:after="0" w:afterLines="0"/>
    </w:pPr>
    <w:rPr>
      <w:rFonts w:ascii="宋体" w:eastAsia="宋体"/>
      <w:szCs w:val="21"/>
    </w:rPr>
  </w:style>
  <w:style w:type="paragraph" w:customStyle="1" w:styleId="104">
    <w:name w:val="附录图标号"/>
    <w:basedOn w:val="1"/>
    <w:qFormat/>
    <w:uiPriority w:val="0"/>
    <w:pPr>
      <w:keepNext/>
      <w:pageBreakBefore/>
      <w:widowControl/>
      <w:numPr>
        <w:ilvl w:val="0"/>
        <w:numId w:val="14"/>
      </w:numPr>
      <w:spacing w:line="14" w:lineRule="exact"/>
      <w:ind w:left="0" w:firstLine="363"/>
      <w:jc w:val="center"/>
      <w:outlineLvl w:val="0"/>
    </w:pPr>
    <w:rPr>
      <w:color w:val="FFFFFF"/>
    </w:rPr>
  </w:style>
  <w:style w:type="paragraph" w:customStyle="1" w:styleId="105">
    <w:name w:val="附录图标题"/>
    <w:basedOn w:val="1"/>
    <w:next w:val="25"/>
    <w:qFormat/>
    <w:uiPriority w:val="0"/>
    <w:pPr>
      <w:numPr>
        <w:ilvl w:val="1"/>
        <w:numId w:val="14"/>
      </w:numPr>
      <w:tabs>
        <w:tab w:val="left" w:pos="363"/>
      </w:tabs>
      <w:spacing w:before="50" w:beforeLines="50" w:after="50" w:afterLines="50"/>
      <w:ind w:left="0" w:firstLine="0"/>
      <w:jc w:val="center"/>
    </w:pPr>
    <w:rPr>
      <w:rFonts w:ascii="黑体" w:eastAsia="黑体"/>
      <w:szCs w:val="21"/>
    </w:rPr>
  </w:style>
  <w:style w:type="paragraph" w:customStyle="1" w:styleId="106">
    <w:name w:val="附录五级条标题"/>
    <w:basedOn w:val="102"/>
    <w:next w:val="25"/>
    <w:qFormat/>
    <w:uiPriority w:val="0"/>
    <w:pPr>
      <w:numPr>
        <w:ilvl w:val="6"/>
      </w:numPr>
      <w:outlineLvl w:val="6"/>
    </w:pPr>
  </w:style>
  <w:style w:type="paragraph" w:customStyle="1" w:styleId="107">
    <w:name w:val="附录五级无"/>
    <w:basedOn w:val="106"/>
    <w:qFormat/>
    <w:uiPriority w:val="0"/>
    <w:pPr>
      <w:tabs>
        <w:tab w:val="clear" w:pos="360"/>
      </w:tabs>
      <w:spacing w:before="0" w:beforeLines="0" w:after="0" w:afterLines="0"/>
    </w:pPr>
    <w:rPr>
      <w:rFonts w:ascii="宋体" w:eastAsia="宋体"/>
      <w:szCs w:val="21"/>
    </w:rPr>
  </w:style>
  <w:style w:type="paragraph" w:customStyle="1" w:styleId="108">
    <w:name w:val="附录章标题"/>
    <w:next w:val="25"/>
    <w:qFormat/>
    <w:uiPriority w:val="0"/>
    <w:pPr>
      <w:numPr>
        <w:ilvl w:val="1"/>
        <w:numId w:val="11"/>
      </w:numPr>
      <w:tabs>
        <w:tab w:val="left" w:pos="360"/>
      </w:tabs>
      <w:wordWrap w:val="0"/>
      <w:overflowPunct w:val="0"/>
      <w:autoSpaceDE w:val="0"/>
      <w:spacing w:before="100" w:beforeLines="100" w:after="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109">
    <w:name w:val="附录一级条标题"/>
    <w:basedOn w:val="108"/>
    <w:next w:val="25"/>
    <w:qFormat/>
    <w:uiPriority w:val="0"/>
    <w:pPr>
      <w:numPr>
        <w:ilvl w:val="2"/>
      </w:numPr>
      <w:autoSpaceDN w:val="0"/>
      <w:spacing w:before="50" w:beforeLines="50" w:after="50" w:afterLines="50"/>
      <w:outlineLvl w:val="2"/>
    </w:pPr>
  </w:style>
  <w:style w:type="paragraph" w:customStyle="1" w:styleId="110">
    <w:name w:val="附录一级无"/>
    <w:basedOn w:val="109"/>
    <w:qFormat/>
    <w:uiPriority w:val="0"/>
    <w:pPr>
      <w:tabs>
        <w:tab w:val="clear" w:pos="360"/>
      </w:tabs>
      <w:spacing w:before="0" w:beforeLines="0" w:after="0" w:afterLines="0"/>
    </w:pPr>
    <w:rPr>
      <w:rFonts w:ascii="宋体" w:eastAsia="宋体"/>
      <w:szCs w:val="21"/>
    </w:rPr>
  </w:style>
  <w:style w:type="paragraph" w:customStyle="1" w:styleId="111">
    <w:name w:val="附录字母编号列项（一级）"/>
    <w:qFormat/>
    <w:uiPriority w:val="0"/>
    <w:pPr>
      <w:numPr>
        <w:ilvl w:val="0"/>
        <w:numId w:val="13"/>
      </w:numPr>
    </w:pPr>
    <w:rPr>
      <w:rFonts w:ascii="宋体" w:hAnsi="Times New Roman" w:eastAsia="宋体" w:cs="Times New Roman"/>
      <w:sz w:val="21"/>
      <w:lang w:val="en-US" w:eastAsia="zh-CN" w:bidi="ar-SA"/>
    </w:rPr>
  </w:style>
  <w:style w:type="paragraph" w:customStyle="1" w:styleId="112">
    <w:name w:val="列项说明"/>
    <w:basedOn w:val="1"/>
    <w:qFormat/>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113">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114">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15">
    <w:name w:val="其他标准标志"/>
    <w:basedOn w:val="72"/>
    <w:qFormat/>
    <w:uiPriority w:val="0"/>
    <w:pPr>
      <w:framePr w:w="6101" w:wrap="around" w:vAnchor="page" w:hAnchor="page" w:x="4673" w:y="942"/>
    </w:pPr>
    <w:rPr>
      <w:w w:val="130"/>
    </w:rPr>
  </w:style>
  <w:style w:type="paragraph" w:customStyle="1" w:styleId="116">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17">
    <w:name w:val="其他发布部门"/>
    <w:basedOn w:val="80"/>
    <w:qFormat/>
    <w:uiPriority w:val="0"/>
    <w:pPr>
      <w:framePr w:wrap="around" w:y="15310"/>
      <w:spacing w:line="0" w:lineRule="atLeast"/>
    </w:pPr>
    <w:rPr>
      <w:rFonts w:ascii="黑体" w:eastAsia="黑体"/>
      <w:b w:val="0"/>
    </w:rPr>
  </w:style>
  <w:style w:type="paragraph" w:customStyle="1" w:styleId="118">
    <w:name w:val="前言、引言标题"/>
    <w:next w:val="25"/>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19">
    <w:name w:val="三级无"/>
    <w:basedOn w:val="57"/>
    <w:qFormat/>
    <w:uiPriority w:val="0"/>
    <w:pPr>
      <w:spacing w:before="0" w:beforeLines="0" w:after="0" w:afterLines="0"/>
    </w:pPr>
    <w:rPr>
      <w:rFonts w:ascii="宋体" w:eastAsia="宋体"/>
    </w:rPr>
  </w:style>
  <w:style w:type="paragraph" w:customStyle="1" w:styleId="120">
    <w:name w:val="实施日期"/>
    <w:basedOn w:val="81"/>
    <w:qFormat/>
    <w:uiPriority w:val="0"/>
    <w:pPr>
      <w:framePr w:wrap="around" w:vAnchor="page" w:hAnchor="text"/>
      <w:jc w:val="right"/>
    </w:pPr>
  </w:style>
  <w:style w:type="paragraph" w:customStyle="1" w:styleId="121">
    <w:name w:val="示例后文字"/>
    <w:basedOn w:val="25"/>
    <w:next w:val="25"/>
    <w:qFormat/>
    <w:uiPriority w:val="0"/>
    <w:pPr>
      <w:ind w:firstLine="360"/>
    </w:pPr>
    <w:rPr>
      <w:sz w:val="18"/>
    </w:rPr>
  </w:style>
  <w:style w:type="paragraph" w:customStyle="1" w:styleId="122">
    <w:name w:val="首示例"/>
    <w:next w:val="25"/>
    <w:link w:val="123"/>
    <w:qFormat/>
    <w:uiPriority w:val="0"/>
    <w:pPr>
      <w:numPr>
        <w:ilvl w:val="0"/>
        <w:numId w:val="15"/>
      </w:numPr>
      <w:tabs>
        <w:tab w:val="left" w:pos="360"/>
      </w:tabs>
      <w:ind w:firstLine="0"/>
    </w:pPr>
    <w:rPr>
      <w:rFonts w:ascii="宋体" w:hAnsi="宋体" w:eastAsia="宋体" w:cs="Times New Roman"/>
      <w:kern w:val="2"/>
      <w:sz w:val="18"/>
      <w:szCs w:val="18"/>
      <w:lang w:val="en-US" w:eastAsia="zh-CN" w:bidi="ar-SA"/>
    </w:rPr>
  </w:style>
  <w:style w:type="character" w:customStyle="1" w:styleId="123">
    <w:name w:val="首示例 Char"/>
    <w:link w:val="122"/>
    <w:qFormat/>
    <w:uiPriority w:val="0"/>
    <w:rPr>
      <w:rFonts w:ascii="宋体" w:hAnsi="宋体"/>
      <w:kern w:val="2"/>
      <w:sz w:val="18"/>
      <w:szCs w:val="18"/>
      <w:lang w:val="en-US" w:eastAsia="zh-CN" w:bidi="ar-SA"/>
    </w:rPr>
  </w:style>
  <w:style w:type="paragraph" w:customStyle="1" w:styleId="124">
    <w:name w:val="四级无"/>
    <w:basedOn w:val="61"/>
    <w:qFormat/>
    <w:uiPriority w:val="0"/>
    <w:pPr>
      <w:spacing w:before="0" w:beforeLines="0" w:after="0" w:afterLines="0"/>
    </w:pPr>
    <w:rPr>
      <w:rFonts w:ascii="宋体" w:eastAsia="宋体"/>
    </w:rPr>
  </w:style>
  <w:style w:type="paragraph" w:customStyle="1" w:styleId="125">
    <w:name w:val="条文脚注"/>
    <w:basedOn w:val="26"/>
    <w:qFormat/>
    <w:uiPriority w:val="0"/>
    <w:pPr>
      <w:numPr>
        <w:numId w:val="0"/>
      </w:numPr>
      <w:jc w:val="both"/>
    </w:pPr>
  </w:style>
  <w:style w:type="paragraph" w:customStyle="1" w:styleId="126">
    <w:name w:val="图标脚注说明"/>
    <w:basedOn w:val="25"/>
    <w:qFormat/>
    <w:uiPriority w:val="0"/>
    <w:pPr>
      <w:ind w:left="840" w:hanging="420" w:firstLineChars="0"/>
    </w:pPr>
    <w:rPr>
      <w:sz w:val="18"/>
      <w:szCs w:val="18"/>
    </w:rPr>
  </w:style>
  <w:style w:type="paragraph" w:customStyle="1" w:styleId="127">
    <w:name w:val="图表脚注说明"/>
    <w:basedOn w:val="1"/>
    <w:qFormat/>
    <w:uiPriority w:val="0"/>
    <w:pPr>
      <w:numPr>
        <w:ilvl w:val="0"/>
        <w:numId w:val="16"/>
      </w:numPr>
    </w:pPr>
    <w:rPr>
      <w:rFonts w:ascii="宋体"/>
      <w:sz w:val="18"/>
      <w:szCs w:val="18"/>
    </w:rPr>
  </w:style>
  <w:style w:type="paragraph" w:customStyle="1" w:styleId="128">
    <w:name w:val="图的脚注"/>
    <w:next w:val="25"/>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129">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30">
    <w:name w:val="五级无"/>
    <w:basedOn w:val="62"/>
    <w:qFormat/>
    <w:uiPriority w:val="0"/>
    <w:pPr>
      <w:spacing w:before="0" w:beforeLines="0" w:after="0" w:afterLines="0"/>
    </w:pPr>
    <w:rPr>
      <w:rFonts w:ascii="宋体" w:eastAsia="宋体"/>
    </w:rPr>
  </w:style>
  <w:style w:type="paragraph" w:customStyle="1" w:styleId="131">
    <w:name w:val="一级无"/>
    <w:basedOn w:val="48"/>
    <w:qFormat/>
    <w:uiPriority w:val="0"/>
    <w:pPr>
      <w:spacing w:before="0" w:beforeLines="0" w:after="0" w:afterLines="0"/>
    </w:pPr>
    <w:rPr>
      <w:rFonts w:ascii="宋体" w:eastAsia="宋体"/>
    </w:rPr>
  </w:style>
  <w:style w:type="paragraph" w:customStyle="1" w:styleId="132">
    <w:name w:val="正文表标题"/>
    <w:next w:val="25"/>
    <w:qFormat/>
    <w:uiPriority w:val="0"/>
    <w:pPr>
      <w:numPr>
        <w:ilvl w:val="0"/>
        <w:numId w:val="17"/>
      </w:numPr>
      <w:tabs>
        <w:tab w:val="left" w:pos="360"/>
      </w:tabs>
      <w:spacing w:before="156" w:beforeLines="50" w:after="156" w:afterLines="50"/>
      <w:jc w:val="center"/>
    </w:pPr>
    <w:rPr>
      <w:rFonts w:ascii="黑体" w:hAnsi="Times New Roman" w:eastAsia="黑体" w:cs="Times New Roman"/>
      <w:sz w:val="21"/>
      <w:lang w:val="en-US" w:eastAsia="zh-CN" w:bidi="ar-SA"/>
    </w:rPr>
  </w:style>
  <w:style w:type="paragraph" w:customStyle="1" w:styleId="133">
    <w:name w:val="正文公式编号制表符"/>
    <w:basedOn w:val="25"/>
    <w:next w:val="25"/>
    <w:qFormat/>
    <w:uiPriority w:val="0"/>
    <w:pPr>
      <w:ind w:firstLine="0" w:firstLineChars="0"/>
    </w:pPr>
  </w:style>
  <w:style w:type="paragraph" w:customStyle="1" w:styleId="134">
    <w:name w:val="正文图标题"/>
    <w:next w:val="25"/>
    <w:qFormat/>
    <w:uiPriority w:val="0"/>
    <w:pPr>
      <w:numPr>
        <w:ilvl w:val="0"/>
        <w:numId w:val="18"/>
      </w:numPr>
      <w:spacing w:before="156" w:beforeLines="50" w:after="156" w:afterLines="50"/>
      <w:jc w:val="center"/>
    </w:pPr>
    <w:rPr>
      <w:rFonts w:ascii="黑体" w:hAnsi="Times New Roman" w:eastAsia="黑体" w:cs="Times New Roman"/>
      <w:sz w:val="21"/>
      <w:lang w:val="en-US" w:eastAsia="zh-CN" w:bidi="ar-SA"/>
    </w:rPr>
  </w:style>
  <w:style w:type="paragraph" w:customStyle="1" w:styleId="135">
    <w:name w:val="终结线"/>
    <w:basedOn w:val="1"/>
    <w:qFormat/>
    <w:uiPriority w:val="0"/>
    <w:pPr>
      <w:framePr w:hSpace="181" w:vSpace="181" w:wrap="around" w:vAnchor="text" w:hAnchor="margin" w:xAlign="center" w:y="285"/>
    </w:pPr>
  </w:style>
  <w:style w:type="paragraph" w:customStyle="1" w:styleId="136">
    <w:name w:val="其他发布日期"/>
    <w:basedOn w:val="81"/>
    <w:qFormat/>
    <w:uiPriority w:val="0"/>
    <w:pPr>
      <w:framePr w:wrap="around" w:vAnchor="page" w:hAnchor="text" w:x="1419"/>
    </w:pPr>
  </w:style>
  <w:style w:type="paragraph" w:customStyle="1" w:styleId="137">
    <w:name w:val="其他实施日期"/>
    <w:basedOn w:val="120"/>
    <w:qFormat/>
    <w:uiPriority w:val="0"/>
    <w:pPr>
      <w:framePr w:wrap="around"/>
    </w:pPr>
  </w:style>
  <w:style w:type="paragraph" w:customStyle="1" w:styleId="138">
    <w:name w:val="封面标准名称2"/>
    <w:basedOn w:val="84"/>
    <w:qFormat/>
    <w:uiPriority w:val="0"/>
    <w:pPr>
      <w:framePr w:wrap="around" w:y="4469"/>
      <w:spacing w:before="630" w:beforeLines="630"/>
    </w:pPr>
  </w:style>
  <w:style w:type="paragraph" w:customStyle="1" w:styleId="139">
    <w:name w:val="封面标准英文名称2"/>
    <w:basedOn w:val="85"/>
    <w:qFormat/>
    <w:uiPriority w:val="0"/>
    <w:pPr>
      <w:framePr w:wrap="around" w:y="4469"/>
    </w:pPr>
  </w:style>
  <w:style w:type="paragraph" w:customStyle="1" w:styleId="140">
    <w:name w:val="封面一致性程度标识2"/>
    <w:basedOn w:val="86"/>
    <w:qFormat/>
    <w:uiPriority w:val="0"/>
    <w:pPr>
      <w:framePr w:wrap="around" w:y="4469"/>
    </w:pPr>
  </w:style>
  <w:style w:type="paragraph" w:customStyle="1" w:styleId="141">
    <w:name w:val="封面标准文稿类别2"/>
    <w:basedOn w:val="87"/>
    <w:qFormat/>
    <w:uiPriority w:val="0"/>
    <w:pPr>
      <w:framePr w:wrap="around" w:y="4469"/>
    </w:pPr>
  </w:style>
  <w:style w:type="paragraph" w:customStyle="1" w:styleId="142">
    <w:name w:val="封面标准文稿编辑信息2"/>
    <w:basedOn w:val="88"/>
    <w:qFormat/>
    <w:uiPriority w:val="0"/>
    <w:pPr>
      <w:framePr w:wrap="around" w:y="4469"/>
    </w:pPr>
  </w:style>
  <w:style w:type="paragraph" w:styleId="143">
    <w:name w:val="List Paragraph"/>
    <w:basedOn w:val="1"/>
    <w:qFormat/>
    <w:uiPriority w:val="34"/>
    <w:pPr>
      <w:ind w:firstLine="420" w:firstLineChars="200"/>
    </w:pPr>
  </w:style>
  <w:style w:type="paragraph" w:customStyle="1" w:styleId="144">
    <w:name w:val="src"/>
    <w:basedOn w:val="1"/>
    <w:qFormat/>
    <w:uiPriority w:val="0"/>
    <w:pPr>
      <w:widowControl/>
      <w:spacing w:before="100" w:beforeAutospacing="1" w:after="100" w:afterAutospacing="1"/>
      <w:jc w:val="left"/>
    </w:pPr>
    <w:rPr>
      <w:rFonts w:ascii="宋体" w:hAnsi="宋体" w:cs="宋体"/>
      <w:kern w:val="0"/>
      <w:sz w:val="24"/>
    </w:rPr>
  </w:style>
  <w:style w:type="paragraph" w:customStyle="1" w:styleId="145">
    <w:name w:val="修订1"/>
    <w:unhideWhenUsed/>
    <w:qFormat/>
    <w:uiPriority w:val="99"/>
    <w:rPr>
      <w:rFonts w:ascii="Times New Roman" w:hAnsi="Times New Roman" w:eastAsia="宋体" w:cs="Times New Roman"/>
      <w:kern w:val="2"/>
      <w:sz w:val="21"/>
      <w:szCs w:val="24"/>
      <w:lang w:val="en-US" w:eastAsia="zh-CN" w:bidi="ar-SA"/>
    </w:rPr>
  </w:style>
  <w:style w:type="paragraph" w:customStyle="1" w:styleId="146">
    <w:name w:val="TOC 标题1"/>
    <w:basedOn w:val="2"/>
    <w:next w:val="1"/>
    <w:unhideWhenUsed/>
    <w:qFormat/>
    <w:uiPriority w:val="39"/>
    <w:pPr>
      <w:keepNext/>
      <w:keepLines/>
      <w:spacing w:before="240" w:beforeAutospacing="0" w:after="0" w:afterAutospacing="0" w:line="259" w:lineRule="auto"/>
      <w:outlineLvl w:val="9"/>
    </w:pPr>
    <w:rPr>
      <w:rFonts w:asciiTheme="majorHAnsi" w:hAnsiTheme="majorHAnsi" w:eastAsiaTheme="majorEastAsia" w:cstheme="majorBidi"/>
      <w:b w:val="0"/>
      <w:bCs w:val="0"/>
      <w:color w:val="2F5597" w:themeColor="accent1" w:themeShade="BF"/>
      <w:kern w:val="0"/>
      <w:sz w:val="32"/>
      <w:szCs w:val="32"/>
    </w:rPr>
  </w:style>
  <w:style w:type="character" w:customStyle="1" w:styleId="147">
    <w:name w:val="标题 2 字符"/>
    <w:basedOn w:val="36"/>
    <w:link w:val="3"/>
    <w:qFormat/>
    <w:uiPriority w:val="0"/>
    <w:rPr>
      <w:rFonts w:asciiTheme="majorHAnsi" w:hAnsiTheme="majorHAnsi" w:eastAsiaTheme="majorEastAsia" w:cstheme="majorBidi"/>
      <w:b/>
      <w:bCs/>
      <w:kern w:val="2"/>
      <w:sz w:val="32"/>
      <w:szCs w:val="32"/>
    </w:rPr>
  </w:style>
  <w:style w:type="character" w:customStyle="1" w:styleId="148">
    <w:name w:val="标题 3 字符"/>
    <w:basedOn w:val="36"/>
    <w:link w:val="4"/>
    <w:semiHidden/>
    <w:qFormat/>
    <w:uiPriority w:val="0"/>
    <w:rPr>
      <w:b/>
      <w:bCs/>
      <w:kern w:val="2"/>
      <w:sz w:val="32"/>
      <w:szCs w:val="32"/>
    </w:rPr>
  </w:style>
  <w:style w:type="paragraph" w:customStyle="1" w:styleId="149">
    <w:name w:val="Revision"/>
    <w:hidden/>
    <w:unhideWhenUsed/>
    <w:uiPriority w:val="99"/>
    <w:rPr>
      <w:rFonts w:ascii="Times New Roman" w:hAnsi="Times New Roman" w:eastAsia="宋体" w:cs="Times New Roman"/>
      <w:kern w:val="2"/>
      <w:sz w:val="21"/>
      <w:szCs w:val="24"/>
      <w:lang w:val="en-US" w:eastAsia="zh-CN" w:bidi="ar-SA"/>
    </w:rPr>
  </w:style>
  <w:style w:type="character" w:customStyle="1" w:styleId="150">
    <w:name w:val="独创声明正文 Char"/>
    <w:link w:val="151"/>
    <w:uiPriority w:val="0"/>
    <w:rPr>
      <w:rFonts w:ascii="仿宋_GB2312" w:eastAsia="仿宋_GB2312"/>
      <w:sz w:val="28"/>
      <w:szCs w:val="28"/>
      <w:lang w:eastAsia="en-US" w:bidi="en-US"/>
    </w:rPr>
  </w:style>
  <w:style w:type="paragraph" w:customStyle="1" w:styleId="151">
    <w:name w:val="独创声明正文"/>
    <w:basedOn w:val="1"/>
    <w:link w:val="150"/>
    <w:qFormat/>
    <w:uiPriority w:val="0"/>
    <w:pPr>
      <w:widowControl/>
      <w:snapToGrid w:val="0"/>
      <w:spacing w:beforeLines="100" w:after="100" w:afterAutospacing="1" w:line="360" w:lineRule="auto"/>
      <w:ind w:firstLine="560" w:firstLineChars="200"/>
      <w:jc w:val="left"/>
    </w:pPr>
    <w:rPr>
      <w:rFonts w:ascii="仿宋_GB2312" w:eastAsia="仿宋_GB2312"/>
      <w:kern w:val="0"/>
      <w:sz w:val="28"/>
      <w:szCs w:val="28"/>
      <w:lang w:eastAsia="en-US" w:bidi="en-US"/>
    </w:rPr>
  </w:style>
</w:style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emf"/><Relationship Id="rId7" Type="http://schemas.openxmlformats.org/officeDocument/2006/relationships/package" Target="embeddings/Microsoft_Visio___1.vsdx"/><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microsoft.com/office/2006/relationships/keyMapCustomizations" Target="customizations.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192EF61-6079-47F2-99C6-B3350E3EF867}">
  <ds:schemaRefs/>
</ds:datastoreItem>
</file>

<file path=docProps/app.xml><?xml version="1.0" encoding="utf-8"?>
<Properties xmlns="http://schemas.openxmlformats.org/officeDocument/2006/extended-properties" xmlns:vt="http://schemas.openxmlformats.org/officeDocument/2006/docPropsVTypes">
  <Template>Normal.dotm</Template>
  <Company>zle</Company>
  <Pages>7</Pages>
  <Words>681</Words>
  <Characters>3886</Characters>
  <Lines>32</Lines>
  <Paragraphs>9</Paragraphs>
  <TotalTime>128</TotalTime>
  <ScaleCrop>false</ScaleCrop>
  <LinksUpToDate>false</LinksUpToDate>
  <CharactersWithSpaces>4558</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2024-05-07T00:06:00Z</dcterms:created>
  <dc:creator>CNIS</dc:creator>
  <cp:lastModifiedBy>Administrator</cp:lastModifiedBy>
  <cp:lastPrinted>2023-09-19T06:04:00Z</cp:lastPrinted>
  <dcterms:modified xsi:type="dcterms:W3CDTF">2024-05-07T06:55:47Z</dcterms:modified>
  <dc:title>标准名称</dc:title>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5255D387E09A46F19E92307EBED1FD98</vt:lpwstr>
  </property>
</Properties>
</file>